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719B9" w:rsidRPr="0054265A" w:rsidRDefault="000A27D8" w:rsidP="000A27D8">
      <w:pPr>
        <w:jc w:val="center"/>
        <w:rPr>
          <w:rFonts w:ascii="Times New Roman" w:hAnsi="Times New Roman" w:cs="Times New Roman"/>
          <w:b/>
          <w:sz w:val="28"/>
          <w:szCs w:val="24"/>
        </w:rPr>
      </w:pPr>
      <w:r w:rsidRPr="0054265A">
        <w:rPr>
          <w:rFonts w:ascii="Times New Roman" w:hAnsi="Times New Roman" w:cs="Times New Roman"/>
          <w:b/>
          <w:noProof/>
          <w:sz w:val="28"/>
          <w:szCs w:val="24"/>
        </w:rPr>
        <mc:AlternateContent>
          <mc:Choice Requires="wps">
            <w:drawing>
              <wp:anchor distT="0" distB="0" distL="114300" distR="114300" simplePos="0" relativeHeight="251661312" behindDoc="0" locked="0" layoutInCell="1" allowOverlap="1" wp14:anchorId="56912FD9" wp14:editId="1AE57485">
                <wp:simplePos x="0" y="0"/>
                <wp:positionH relativeFrom="column">
                  <wp:posOffset>-104775</wp:posOffset>
                </wp:positionH>
                <wp:positionV relativeFrom="paragraph">
                  <wp:posOffset>581025</wp:posOffset>
                </wp:positionV>
                <wp:extent cx="6257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2579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A4FE12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25pt,45.75pt" to="484.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" strokecolor="#4a7ebb"/>
            </w:pict>
          </mc:Fallback>
        </mc:AlternateContent>
      </w:r>
      <w:r w:rsidRPr="0054265A">
        <w:rPr>
          <w:rFonts w:ascii="Times New Roman" w:hAnsi="Times New Roman" w:cs="Times New Roman"/>
          <w:b/>
          <w:noProof/>
          <w:sz w:val="28"/>
          <w:szCs w:val="24"/>
        </w:rPr>
        <mc:AlternateContent>
          <mc:Choice Requires="wps">
            <w:drawing>
              <wp:anchor distT="0" distB="0" distL="114300" distR="114300" simplePos="0" relativeHeight="251659264" behindDoc="0" locked="0" layoutInCell="1" allowOverlap="1" wp14:anchorId="6FB3E03D" wp14:editId="62AE80C4">
                <wp:simplePos x="0" y="0"/>
                <wp:positionH relativeFrom="column">
                  <wp:posOffset>-104776</wp:posOffset>
                </wp:positionH>
                <wp:positionV relativeFrom="paragraph">
                  <wp:posOffset>-152400</wp:posOffset>
                </wp:positionV>
                <wp:extent cx="6257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B2992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12pt" to="4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" strokecolor="#4579b8 [3044]"/>
            </w:pict>
          </mc:Fallback>
        </mc:AlternateContent>
      </w:r>
      <w:r w:rsidRPr="0054265A">
        <w:rPr>
          <w:rFonts w:ascii="Times New Roman" w:hAnsi="Times New Roman" w:cs="Times New Roman"/>
          <w:b/>
          <w:sz w:val="28"/>
          <w:szCs w:val="24"/>
        </w:rPr>
        <w:t>Summary of Content Changes</w:t>
      </w:r>
      <w:r w:rsidR="000A751A" w:rsidRPr="0054265A">
        <w:rPr>
          <w:rFonts w:ascii="Times New Roman" w:hAnsi="Times New Roman" w:cs="Times New Roman"/>
          <w:b/>
          <w:sz w:val="28"/>
          <w:szCs w:val="24"/>
        </w:rPr>
        <w:br/>
        <w:t>201</w:t>
      </w:r>
      <w:r w:rsidR="00354E7B">
        <w:rPr>
          <w:rFonts w:ascii="Times New Roman" w:hAnsi="Times New Roman" w:cs="Times New Roman"/>
          <w:b/>
          <w:sz w:val="28"/>
          <w:szCs w:val="24"/>
        </w:rPr>
        <w:t>7</w:t>
      </w:r>
      <w:r w:rsidR="000A751A" w:rsidRPr="0054265A">
        <w:rPr>
          <w:rFonts w:ascii="Times New Roman" w:hAnsi="Times New Roman" w:cs="Times New Roman"/>
          <w:b/>
          <w:sz w:val="28"/>
          <w:szCs w:val="24"/>
        </w:rPr>
        <w:t>.</w:t>
      </w:r>
      <w:r w:rsidR="00354E7B">
        <w:rPr>
          <w:rFonts w:ascii="Times New Roman" w:hAnsi="Times New Roman" w:cs="Times New Roman"/>
          <w:b/>
          <w:sz w:val="28"/>
          <w:szCs w:val="24"/>
        </w:rPr>
        <w:t>1</w:t>
      </w:r>
      <w:r w:rsidR="000A751A" w:rsidRPr="0054265A">
        <w:rPr>
          <w:rFonts w:ascii="Times New Roman" w:hAnsi="Times New Roman" w:cs="Times New Roman"/>
          <w:b/>
          <w:sz w:val="28"/>
          <w:szCs w:val="24"/>
        </w:rPr>
        <w:t xml:space="preserve"> Update – </w:t>
      </w:r>
      <w:r w:rsidR="00354E7B">
        <w:rPr>
          <w:rFonts w:ascii="Times New Roman" w:hAnsi="Times New Roman" w:cs="Times New Roman"/>
          <w:b/>
          <w:sz w:val="28"/>
          <w:szCs w:val="24"/>
        </w:rPr>
        <w:t>January 2017</w:t>
      </w:r>
    </w:p>
    <w:p w:rsidR="00061545" w:rsidRDefault="00061545">
      <w:pPr>
        <w:rPr>
          <w:rFonts w:ascii="Times New Roman" w:hAnsi="Times New Roman" w:cs="Times New Roman"/>
          <w:b/>
          <w:sz w:val="24"/>
          <w:szCs w:val="24"/>
          <w:u w:val="single"/>
        </w:rPr>
      </w:pPr>
    </w:p>
    <w:p w:rsidR="00BB140A" w:rsidRPr="00883718" w:rsidRDefault="00BB140A">
      <w:pPr>
        <w:rPr>
          <w:rFonts w:cstheme="minorHAnsi"/>
          <w:b/>
          <w:sz w:val="24"/>
          <w:szCs w:val="24"/>
          <w:u w:val="single"/>
        </w:rPr>
      </w:pPr>
      <w:r w:rsidRPr="00883718">
        <w:rPr>
          <w:rFonts w:cstheme="minorHAnsi"/>
          <w:b/>
          <w:sz w:val="24"/>
          <w:szCs w:val="24"/>
          <w:u w:val="single"/>
        </w:rPr>
        <w:t>General Notes</w:t>
      </w:r>
    </w:p>
    <w:p w:rsidR="00883718" w:rsidRPr="00883718" w:rsidRDefault="00883718" w:rsidP="00B52136">
      <w:pPr>
        <w:rPr>
          <w:rFonts w:cstheme="minorHAnsi"/>
          <w:sz w:val="24"/>
          <w:szCs w:val="24"/>
        </w:rPr>
      </w:pPr>
      <w:r w:rsidRPr="00883718">
        <w:rPr>
          <w:rFonts w:cstheme="minorHAnsi"/>
          <w:sz w:val="24"/>
          <w:szCs w:val="24"/>
        </w:rPr>
        <w:t xml:space="preserve">As </w:t>
      </w:r>
      <w:r w:rsidR="00FF5F24">
        <w:rPr>
          <w:rFonts w:cstheme="minorHAnsi"/>
          <w:sz w:val="24"/>
          <w:szCs w:val="24"/>
        </w:rPr>
        <w:t xml:space="preserve">is </w:t>
      </w:r>
      <w:r w:rsidRPr="00883718">
        <w:rPr>
          <w:rFonts w:cstheme="minorHAnsi"/>
          <w:sz w:val="24"/>
          <w:szCs w:val="24"/>
        </w:rPr>
        <w:t xml:space="preserve">typical for our </w:t>
      </w:r>
      <w:r w:rsidR="00354E7B">
        <w:rPr>
          <w:rFonts w:cstheme="minorHAnsi"/>
          <w:sz w:val="24"/>
          <w:szCs w:val="24"/>
        </w:rPr>
        <w:t xml:space="preserve">New Year </w:t>
      </w:r>
      <w:r w:rsidRPr="00883718">
        <w:rPr>
          <w:rFonts w:cstheme="minorHAnsi"/>
          <w:sz w:val="24"/>
          <w:szCs w:val="24"/>
        </w:rPr>
        <w:t>update, m</w:t>
      </w:r>
      <w:r w:rsidR="00FE6F1B" w:rsidRPr="00883718">
        <w:rPr>
          <w:rFonts w:cstheme="minorHAnsi"/>
          <w:sz w:val="24"/>
          <w:szCs w:val="24"/>
        </w:rPr>
        <w:t xml:space="preserve">any of the policy revisions </w:t>
      </w:r>
      <w:r w:rsidR="00354E7B">
        <w:rPr>
          <w:rFonts w:cstheme="minorHAnsi"/>
          <w:sz w:val="24"/>
          <w:szCs w:val="24"/>
        </w:rPr>
        <w:t xml:space="preserve">for this update </w:t>
      </w:r>
      <w:r w:rsidR="00FE6F1B" w:rsidRPr="00883718">
        <w:rPr>
          <w:rFonts w:cstheme="minorHAnsi"/>
          <w:sz w:val="24"/>
          <w:szCs w:val="24"/>
        </w:rPr>
        <w:t>are related to annual indexed changes that are part of regulation, including the changes made to Health</w:t>
      </w:r>
      <w:r w:rsidRPr="00883718">
        <w:rPr>
          <w:rFonts w:cstheme="minorHAnsi"/>
          <w:sz w:val="24"/>
          <w:szCs w:val="24"/>
        </w:rPr>
        <w:t xml:space="preserve"> Savings Accounts, Credit Cards, the </w:t>
      </w:r>
      <w:r w:rsidR="00FE6F1B" w:rsidRPr="00883718">
        <w:rPr>
          <w:rFonts w:cstheme="minorHAnsi"/>
          <w:sz w:val="24"/>
          <w:szCs w:val="24"/>
        </w:rPr>
        <w:t>Home Ownership Equity Protection Act (HOEPA)</w:t>
      </w:r>
      <w:r w:rsidRPr="00883718">
        <w:rPr>
          <w:rFonts w:cstheme="minorHAnsi"/>
          <w:sz w:val="24"/>
          <w:szCs w:val="24"/>
        </w:rPr>
        <w:t>, and the Ability-to-</w:t>
      </w:r>
      <w:r w:rsidR="00FE6F1B" w:rsidRPr="00883718">
        <w:rPr>
          <w:rFonts w:cstheme="minorHAnsi"/>
          <w:sz w:val="24"/>
          <w:szCs w:val="24"/>
        </w:rPr>
        <w:t xml:space="preserve">Repay rules.  </w:t>
      </w:r>
    </w:p>
    <w:p w:rsidR="00B52136" w:rsidRDefault="00FE6F1B" w:rsidP="00B52136">
      <w:pPr>
        <w:rPr>
          <w:rFonts w:cstheme="minorHAnsi"/>
          <w:sz w:val="24"/>
          <w:szCs w:val="24"/>
        </w:rPr>
      </w:pPr>
      <w:r w:rsidRPr="00883718">
        <w:rPr>
          <w:rFonts w:cstheme="minorHAnsi"/>
          <w:sz w:val="24"/>
          <w:szCs w:val="24"/>
        </w:rPr>
        <w:t>Additional</w:t>
      </w:r>
      <w:r w:rsidR="00883718" w:rsidRPr="00883718">
        <w:rPr>
          <w:rFonts w:cstheme="minorHAnsi"/>
          <w:sz w:val="24"/>
          <w:szCs w:val="24"/>
        </w:rPr>
        <w:t xml:space="preserve">ly, we also made </w:t>
      </w:r>
      <w:r w:rsidRPr="00883718">
        <w:rPr>
          <w:rFonts w:cstheme="minorHAnsi"/>
          <w:sz w:val="24"/>
          <w:szCs w:val="24"/>
        </w:rPr>
        <w:t>policy revisions</w:t>
      </w:r>
      <w:r w:rsidR="00883718">
        <w:rPr>
          <w:rFonts w:cstheme="minorHAnsi"/>
          <w:sz w:val="24"/>
          <w:szCs w:val="24"/>
        </w:rPr>
        <w:t xml:space="preserve"> </w:t>
      </w:r>
      <w:r w:rsidR="00883718" w:rsidRPr="00883718">
        <w:rPr>
          <w:rFonts w:cstheme="minorHAnsi"/>
          <w:sz w:val="24"/>
          <w:szCs w:val="24"/>
        </w:rPr>
        <w:t xml:space="preserve">in light of the CFPB’s recent </w:t>
      </w:r>
      <w:hyperlink r:id="rId5" w:history="1">
        <w:r w:rsidR="00883718" w:rsidRPr="00883718">
          <w:rPr>
            <w:rStyle w:val="Hyperlink"/>
            <w:rFonts w:cstheme="minorHAnsi"/>
            <w:sz w:val="24"/>
            <w:szCs w:val="24"/>
          </w:rPr>
          <w:t>enforcement action</w:t>
        </w:r>
      </w:hyperlink>
      <w:r w:rsidR="00883718" w:rsidRPr="00883718">
        <w:rPr>
          <w:rFonts w:cstheme="minorHAnsi"/>
          <w:sz w:val="24"/>
          <w:szCs w:val="24"/>
        </w:rPr>
        <w:t xml:space="preserve"> against a credit union for practices found to be unfair, deceptive and/or abusive related to debt collection.</w:t>
      </w:r>
    </w:p>
    <w:p w:rsidR="00883718" w:rsidRPr="00883718" w:rsidRDefault="00883718" w:rsidP="00B52136">
      <w:pPr>
        <w:rPr>
          <w:rFonts w:cstheme="minorHAnsi"/>
          <w:sz w:val="24"/>
          <w:szCs w:val="24"/>
        </w:rPr>
      </w:pPr>
      <w:r>
        <w:rPr>
          <w:rFonts w:cstheme="minorHAnsi"/>
          <w:sz w:val="24"/>
          <w:szCs w:val="24"/>
        </w:rPr>
        <w:t xml:space="preserve">Credit unions should also note that the NCUA’s revisions to the member business lending rules become </w:t>
      </w:r>
      <w:r w:rsidRPr="00BF1530">
        <w:rPr>
          <w:rFonts w:cstheme="minorHAnsi"/>
          <w:b/>
          <w:i/>
          <w:sz w:val="24"/>
          <w:szCs w:val="24"/>
        </w:rPr>
        <w:t>effective on January 1, 2017</w:t>
      </w:r>
      <w:r>
        <w:rPr>
          <w:rFonts w:cstheme="minorHAnsi"/>
          <w:sz w:val="24"/>
          <w:szCs w:val="24"/>
        </w:rPr>
        <w:t>.</w:t>
      </w:r>
      <w:r w:rsidR="00AB0A58">
        <w:rPr>
          <w:rFonts w:cstheme="minorHAnsi"/>
          <w:sz w:val="24"/>
          <w:szCs w:val="24"/>
        </w:rPr>
        <w:t xml:space="preserve">  Revisions were made to policy 7420 Member Business Loans/Commercial Lending to comply with these changes in </w:t>
      </w:r>
      <w:r w:rsidR="00354E7B">
        <w:rPr>
          <w:rFonts w:cstheme="minorHAnsi"/>
          <w:sz w:val="24"/>
          <w:szCs w:val="24"/>
        </w:rPr>
        <w:t>the 2016 – 3</w:t>
      </w:r>
      <w:r w:rsidR="00354E7B" w:rsidRPr="00354E7B">
        <w:rPr>
          <w:rFonts w:cstheme="minorHAnsi"/>
          <w:sz w:val="24"/>
          <w:szCs w:val="24"/>
          <w:vertAlign w:val="superscript"/>
        </w:rPr>
        <w:t>rd</w:t>
      </w:r>
      <w:r w:rsidR="00354E7B">
        <w:rPr>
          <w:rFonts w:cstheme="minorHAnsi"/>
          <w:sz w:val="24"/>
          <w:szCs w:val="24"/>
        </w:rPr>
        <w:t xml:space="preserve"> Q Update</w:t>
      </w:r>
      <w:r w:rsidR="00AB0A58">
        <w:rPr>
          <w:rFonts w:cstheme="minorHAnsi"/>
          <w:sz w:val="24"/>
          <w:szCs w:val="24"/>
        </w:rPr>
        <w:t>.</w:t>
      </w:r>
    </w:p>
    <w:p w:rsidR="00061545" w:rsidRPr="00883718" w:rsidRDefault="00061545" w:rsidP="002D1823">
      <w:pPr>
        <w:spacing w:after="0"/>
        <w:rPr>
          <w:rFonts w:cstheme="minorHAnsi"/>
          <w:b/>
          <w:sz w:val="24"/>
          <w:szCs w:val="24"/>
          <w:u w:val="single"/>
        </w:rPr>
      </w:pPr>
      <w:r w:rsidRPr="00883718">
        <w:rPr>
          <w:rFonts w:cstheme="minorHAnsi"/>
          <w:b/>
          <w:sz w:val="24"/>
          <w:szCs w:val="24"/>
          <w:u w:val="single"/>
        </w:rPr>
        <w:t>Policy Updates Summary</w:t>
      </w:r>
    </w:p>
    <w:p w:rsidR="00EC6CDB" w:rsidRDefault="00EC6CDB" w:rsidP="002D1823">
      <w:pPr>
        <w:spacing w:after="0"/>
        <w:rPr>
          <w:rFonts w:cstheme="minorHAnsi"/>
          <w:sz w:val="24"/>
          <w:szCs w:val="24"/>
        </w:rPr>
      </w:pPr>
    </w:p>
    <w:p w:rsidR="00EB73E0" w:rsidRPr="00883718" w:rsidRDefault="00EB73E0" w:rsidP="00EB73E0">
      <w:pPr>
        <w:spacing w:after="0"/>
        <w:rPr>
          <w:rFonts w:cstheme="minorHAnsi"/>
          <w:color w:val="FF0000"/>
          <w:sz w:val="24"/>
          <w:szCs w:val="24"/>
        </w:rPr>
      </w:pPr>
      <w:r>
        <w:rPr>
          <w:rFonts w:cstheme="minorHAnsi"/>
          <w:b/>
          <w:sz w:val="24"/>
          <w:szCs w:val="24"/>
          <w:u w:val="single"/>
        </w:rPr>
        <w:t>Policy 2213</w:t>
      </w:r>
      <w:r w:rsidRPr="00883718">
        <w:rPr>
          <w:rFonts w:cstheme="minorHAnsi"/>
          <w:b/>
          <w:sz w:val="24"/>
          <w:szCs w:val="24"/>
          <w:u w:val="single"/>
        </w:rPr>
        <w:t xml:space="preserve"> – </w:t>
      </w:r>
      <w:r>
        <w:rPr>
          <w:rFonts w:cstheme="minorHAnsi"/>
          <w:b/>
          <w:sz w:val="24"/>
          <w:szCs w:val="24"/>
          <w:u w:val="single"/>
        </w:rPr>
        <w:t>Trust Accounts</w:t>
      </w:r>
    </w:p>
    <w:p w:rsidR="00EB73E0" w:rsidRPr="00883718" w:rsidRDefault="0077125D" w:rsidP="00EB73E0">
      <w:pPr>
        <w:pStyle w:val="Default"/>
        <w:rPr>
          <w:rFonts w:asciiTheme="minorHAnsi" w:hAnsiTheme="minorHAnsi" w:cstheme="minorHAnsi"/>
          <w:b/>
          <w:color w:val="auto"/>
          <w:u w:val="single"/>
        </w:rPr>
      </w:pPr>
      <w:r>
        <w:rPr>
          <w:rFonts w:asciiTheme="minorHAnsi" w:hAnsiTheme="minorHAnsi" w:cstheme="minorHAnsi"/>
          <w:b/>
          <w:color w:val="auto"/>
          <w:u w:val="single"/>
        </w:rPr>
        <w:t>2017-1</w:t>
      </w:r>
    </w:p>
    <w:p w:rsidR="00EB73E0" w:rsidRPr="00883718" w:rsidRDefault="004A722E" w:rsidP="00EB73E0">
      <w:pPr>
        <w:spacing w:after="0"/>
        <w:rPr>
          <w:rFonts w:cstheme="minorHAnsi"/>
          <w:color w:val="FF0000"/>
          <w:sz w:val="24"/>
          <w:szCs w:val="24"/>
        </w:rPr>
      </w:pPr>
      <w:r>
        <w:rPr>
          <w:rFonts w:cstheme="minorHAnsi"/>
          <w:sz w:val="24"/>
          <w:szCs w:val="24"/>
        </w:rPr>
        <w:t>Policy 2213 was updated to include additional types of trust accounts and their respective definitions.  Additionally, more information was added regarding the eligibility of a trust as a member and the membership requirements.</w:t>
      </w:r>
      <w:r w:rsidR="00B90BA1">
        <w:rPr>
          <w:rFonts w:cstheme="minorHAnsi"/>
          <w:sz w:val="24"/>
          <w:szCs w:val="24"/>
        </w:rPr>
        <w:t xml:space="preserve">  </w:t>
      </w:r>
      <w:r w:rsidR="00EB73E0" w:rsidRPr="00883718">
        <w:rPr>
          <w:rFonts w:cstheme="minorHAnsi"/>
          <w:color w:val="FF0000"/>
          <w:sz w:val="24"/>
          <w:szCs w:val="24"/>
        </w:rPr>
        <w:t>(Re</w:t>
      </w:r>
      <w:r w:rsidR="00EB73E0">
        <w:rPr>
          <w:rFonts w:cstheme="minorHAnsi"/>
          <w:color w:val="FF0000"/>
          <w:sz w:val="24"/>
          <w:szCs w:val="24"/>
        </w:rPr>
        <w:t>commended</w:t>
      </w:r>
      <w:r w:rsidR="00EB73E0" w:rsidRPr="00883718">
        <w:rPr>
          <w:rFonts w:cstheme="minorHAnsi"/>
          <w:color w:val="FF0000"/>
          <w:sz w:val="24"/>
          <w:szCs w:val="24"/>
        </w:rPr>
        <w:t>)</w:t>
      </w:r>
    </w:p>
    <w:p w:rsidR="00EB73E0" w:rsidRDefault="00EB73E0" w:rsidP="00FE6F1B">
      <w:pPr>
        <w:spacing w:after="0"/>
        <w:rPr>
          <w:rFonts w:cstheme="minorHAnsi"/>
          <w:b/>
          <w:sz w:val="24"/>
          <w:szCs w:val="24"/>
          <w:u w:val="single"/>
        </w:rPr>
      </w:pPr>
    </w:p>
    <w:p w:rsidR="00FE6F1B" w:rsidRPr="00883718" w:rsidRDefault="00FE6F1B" w:rsidP="00FE6F1B">
      <w:pPr>
        <w:spacing w:after="0"/>
        <w:rPr>
          <w:rFonts w:cstheme="minorHAnsi"/>
          <w:color w:val="FF0000"/>
          <w:sz w:val="24"/>
          <w:szCs w:val="24"/>
        </w:rPr>
      </w:pPr>
      <w:r w:rsidRPr="00883718">
        <w:rPr>
          <w:rFonts w:cstheme="minorHAnsi"/>
          <w:b/>
          <w:sz w:val="24"/>
          <w:szCs w:val="24"/>
          <w:u w:val="single"/>
        </w:rPr>
        <w:t>Policy 2214 – Health Savings Accounts</w:t>
      </w:r>
    </w:p>
    <w:p w:rsidR="00FE6F1B" w:rsidRPr="00883718" w:rsidRDefault="0077125D" w:rsidP="00FE6F1B">
      <w:pPr>
        <w:pStyle w:val="Default"/>
        <w:rPr>
          <w:rFonts w:asciiTheme="minorHAnsi" w:hAnsiTheme="minorHAnsi" w:cstheme="minorHAnsi"/>
          <w:b/>
          <w:color w:val="auto"/>
          <w:u w:val="single"/>
        </w:rPr>
      </w:pPr>
      <w:r>
        <w:rPr>
          <w:rFonts w:asciiTheme="minorHAnsi" w:hAnsiTheme="minorHAnsi" w:cstheme="minorHAnsi"/>
          <w:b/>
          <w:color w:val="auto"/>
          <w:u w:val="single"/>
        </w:rPr>
        <w:t>2017-1</w:t>
      </w:r>
    </w:p>
    <w:p w:rsidR="00FE6F1B" w:rsidRPr="00883718" w:rsidRDefault="00FE6F1B" w:rsidP="00B90BA1">
      <w:pPr>
        <w:pStyle w:val="Default"/>
        <w:rPr>
          <w:rFonts w:cstheme="minorHAnsi"/>
          <w:color w:val="FF0000"/>
        </w:rPr>
      </w:pPr>
      <w:r w:rsidRPr="00883718">
        <w:rPr>
          <w:rFonts w:asciiTheme="minorHAnsi" w:hAnsiTheme="minorHAnsi" w:cstheme="minorHAnsi"/>
          <w:color w:val="auto"/>
        </w:rPr>
        <w:t xml:space="preserve">Each year the </w:t>
      </w:r>
      <w:hyperlink r:id="rId6" w:history="1">
        <w:r w:rsidRPr="00883718">
          <w:rPr>
            <w:rStyle w:val="Hyperlink"/>
            <w:rFonts w:asciiTheme="minorHAnsi" w:hAnsiTheme="minorHAnsi" w:cstheme="minorHAnsi"/>
          </w:rPr>
          <w:t>IRS changes</w:t>
        </w:r>
      </w:hyperlink>
      <w:r w:rsidRPr="00883718">
        <w:rPr>
          <w:rFonts w:asciiTheme="minorHAnsi" w:hAnsiTheme="minorHAnsi" w:cstheme="minorHAnsi"/>
          <w:color w:val="auto"/>
        </w:rPr>
        <w:t xml:space="preserve"> the contribution limits that can be made to health savings accounts for both individuals and</w:t>
      </w:r>
      <w:r w:rsidR="006D6769">
        <w:rPr>
          <w:rFonts w:asciiTheme="minorHAnsi" w:hAnsiTheme="minorHAnsi" w:cstheme="minorHAnsi"/>
          <w:color w:val="auto"/>
        </w:rPr>
        <w:t xml:space="preserve"> family.  Those changes for 2017</w:t>
      </w:r>
      <w:r w:rsidRPr="00883718">
        <w:rPr>
          <w:rFonts w:asciiTheme="minorHAnsi" w:hAnsiTheme="minorHAnsi" w:cstheme="minorHAnsi"/>
          <w:color w:val="auto"/>
        </w:rPr>
        <w:t xml:space="preserve"> are reflected in the policy revisions.</w:t>
      </w:r>
      <w:r w:rsidR="00B90BA1">
        <w:rPr>
          <w:rFonts w:asciiTheme="minorHAnsi" w:hAnsiTheme="minorHAnsi" w:cstheme="minorHAnsi"/>
          <w:color w:val="auto"/>
        </w:rPr>
        <w:t xml:space="preserve">  </w:t>
      </w:r>
      <w:r w:rsidRPr="00883718">
        <w:rPr>
          <w:rFonts w:cstheme="minorHAnsi"/>
          <w:color w:val="FF0000"/>
        </w:rPr>
        <w:t>(Required)</w:t>
      </w:r>
    </w:p>
    <w:p w:rsidR="00FE6F1B" w:rsidRPr="00883718" w:rsidRDefault="00FE6F1B" w:rsidP="00FE6F1B">
      <w:pPr>
        <w:pStyle w:val="Default"/>
        <w:rPr>
          <w:rFonts w:asciiTheme="minorHAnsi" w:hAnsiTheme="minorHAnsi" w:cstheme="minorHAnsi"/>
          <w:b/>
          <w:color w:val="auto"/>
          <w:u w:val="single"/>
        </w:rPr>
      </w:pPr>
    </w:p>
    <w:p w:rsidR="00FE6F1B" w:rsidRPr="00883718" w:rsidRDefault="00FE6F1B" w:rsidP="00FE6F1B">
      <w:pPr>
        <w:pStyle w:val="Default"/>
        <w:rPr>
          <w:rFonts w:asciiTheme="minorHAnsi" w:hAnsiTheme="minorHAnsi" w:cstheme="minorHAnsi"/>
          <w:b/>
          <w:color w:val="auto"/>
          <w:u w:val="single"/>
        </w:rPr>
      </w:pPr>
      <w:r w:rsidRPr="00883718">
        <w:rPr>
          <w:rFonts w:asciiTheme="minorHAnsi" w:hAnsiTheme="minorHAnsi" w:cstheme="minorHAnsi"/>
          <w:b/>
          <w:color w:val="auto"/>
          <w:u w:val="single"/>
        </w:rPr>
        <w:t xml:space="preserve">Policy </w:t>
      </w:r>
      <w:r w:rsidR="006D6769">
        <w:rPr>
          <w:rFonts w:asciiTheme="minorHAnsi" w:hAnsiTheme="minorHAnsi" w:cstheme="minorHAnsi"/>
          <w:b/>
          <w:color w:val="auto"/>
          <w:u w:val="single"/>
        </w:rPr>
        <w:t>2290</w:t>
      </w:r>
      <w:r w:rsidRPr="00883718">
        <w:rPr>
          <w:rFonts w:asciiTheme="minorHAnsi" w:hAnsiTheme="minorHAnsi" w:cstheme="minorHAnsi"/>
          <w:b/>
          <w:color w:val="auto"/>
          <w:u w:val="single"/>
        </w:rPr>
        <w:t xml:space="preserve"> – </w:t>
      </w:r>
      <w:r w:rsidR="006D6769">
        <w:rPr>
          <w:rFonts w:asciiTheme="minorHAnsi" w:hAnsiTheme="minorHAnsi" w:cstheme="minorHAnsi"/>
          <w:b/>
          <w:color w:val="auto"/>
          <w:u w:val="single"/>
        </w:rPr>
        <w:t>Wire Transfers</w:t>
      </w:r>
    </w:p>
    <w:p w:rsidR="00FE6F1B" w:rsidRPr="00883718" w:rsidRDefault="0077125D" w:rsidP="00FE6F1B">
      <w:pPr>
        <w:pStyle w:val="Default"/>
        <w:rPr>
          <w:rFonts w:asciiTheme="minorHAnsi" w:hAnsiTheme="minorHAnsi" w:cstheme="minorHAnsi"/>
          <w:b/>
          <w:color w:val="auto"/>
          <w:u w:val="single"/>
        </w:rPr>
      </w:pPr>
      <w:r>
        <w:rPr>
          <w:rFonts w:asciiTheme="minorHAnsi" w:hAnsiTheme="minorHAnsi" w:cstheme="minorHAnsi"/>
          <w:b/>
          <w:color w:val="auto"/>
          <w:u w:val="single"/>
        </w:rPr>
        <w:t>2017-1</w:t>
      </w:r>
    </w:p>
    <w:p w:rsidR="00FE6F1B" w:rsidRDefault="006D6769" w:rsidP="00FE6F1B">
      <w:pPr>
        <w:pStyle w:val="Default"/>
        <w:rPr>
          <w:rFonts w:asciiTheme="minorHAnsi" w:hAnsiTheme="minorHAnsi" w:cstheme="minorHAnsi"/>
          <w:color w:val="auto"/>
        </w:rPr>
      </w:pPr>
      <w:r>
        <w:rPr>
          <w:rFonts w:asciiTheme="minorHAnsi" w:hAnsiTheme="minorHAnsi" w:cstheme="minorHAnsi"/>
          <w:color w:val="auto"/>
        </w:rPr>
        <w:t xml:space="preserve">The Wire Transfers </w:t>
      </w:r>
      <w:r w:rsidR="000D513C">
        <w:rPr>
          <w:rFonts w:asciiTheme="minorHAnsi" w:hAnsiTheme="minorHAnsi" w:cstheme="minorHAnsi"/>
          <w:color w:val="auto"/>
        </w:rPr>
        <w:t>P</w:t>
      </w:r>
      <w:r>
        <w:rPr>
          <w:rFonts w:asciiTheme="minorHAnsi" w:hAnsiTheme="minorHAnsi" w:cstheme="minorHAnsi"/>
          <w:color w:val="auto"/>
        </w:rPr>
        <w:t xml:space="preserve">olicy was updated to reflect the regulatory requirement of allowing </w:t>
      </w:r>
      <w:r w:rsidR="000D513C">
        <w:rPr>
          <w:rFonts w:asciiTheme="minorHAnsi" w:hAnsiTheme="minorHAnsi" w:cstheme="minorHAnsi"/>
          <w:color w:val="auto"/>
        </w:rPr>
        <w:t xml:space="preserve">a </w:t>
      </w:r>
      <w:r w:rsidR="00EC2122">
        <w:rPr>
          <w:rFonts w:asciiTheme="minorHAnsi" w:hAnsiTheme="minorHAnsi" w:cstheme="minorHAnsi"/>
          <w:color w:val="auto"/>
        </w:rPr>
        <w:t>member</w:t>
      </w:r>
      <w:r w:rsidR="000D513C">
        <w:rPr>
          <w:rFonts w:asciiTheme="minorHAnsi" w:hAnsiTheme="minorHAnsi" w:cstheme="minorHAnsi"/>
          <w:color w:val="auto"/>
        </w:rPr>
        <w:t xml:space="preserve"> 60 days from receipt of their periodic statement to report an unauthorized transfer before incurring liability</w:t>
      </w:r>
      <w:r w:rsidR="00EC2122">
        <w:rPr>
          <w:rFonts w:asciiTheme="minorHAnsi" w:hAnsiTheme="minorHAnsi" w:cstheme="minorHAnsi"/>
          <w:color w:val="auto"/>
        </w:rPr>
        <w:t xml:space="preserve"> (1005.33(f)</w:t>
      </w:r>
      <w:r w:rsidR="00E37C05">
        <w:rPr>
          <w:rFonts w:asciiTheme="minorHAnsi" w:hAnsiTheme="minorHAnsi" w:cstheme="minorHAnsi"/>
          <w:color w:val="auto"/>
        </w:rPr>
        <w:t>)</w:t>
      </w:r>
      <w:r w:rsidR="000D513C">
        <w:rPr>
          <w:rFonts w:asciiTheme="minorHAnsi" w:hAnsiTheme="minorHAnsi" w:cstheme="minorHAnsi"/>
          <w:color w:val="auto"/>
        </w:rPr>
        <w:t>.</w:t>
      </w:r>
    </w:p>
    <w:p w:rsidR="000D513C" w:rsidRDefault="000D513C" w:rsidP="00FE6F1B">
      <w:pPr>
        <w:pStyle w:val="Default"/>
        <w:rPr>
          <w:rFonts w:asciiTheme="minorHAnsi" w:hAnsiTheme="minorHAnsi" w:cstheme="minorHAnsi"/>
          <w:color w:val="auto"/>
        </w:rPr>
      </w:pPr>
    </w:p>
    <w:p w:rsidR="000D513C" w:rsidRPr="000D513C" w:rsidRDefault="000D513C" w:rsidP="00FE6F1B">
      <w:pPr>
        <w:pStyle w:val="Default"/>
        <w:rPr>
          <w:rFonts w:asciiTheme="minorHAnsi" w:hAnsiTheme="minorHAnsi" w:cstheme="minorHAnsi"/>
          <w:color w:val="auto"/>
          <w:sz w:val="20"/>
          <w:szCs w:val="20"/>
        </w:rPr>
      </w:pPr>
      <w:r w:rsidRPr="000D513C">
        <w:rPr>
          <w:rFonts w:asciiTheme="minorHAnsi" w:hAnsiTheme="minorHAnsi" w:cstheme="minorHAnsi"/>
          <w:color w:val="auto"/>
          <w:sz w:val="20"/>
          <w:szCs w:val="20"/>
        </w:rPr>
        <w:t>1005.33(f)</w:t>
      </w:r>
    </w:p>
    <w:p w:rsidR="000D513C" w:rsidRPr="000D513C" w:rsidRDefault="000D513C" w:rsidP="00FE6F1B">
      <w:pPr>
        <w:pStyle w:val="Default"/>
        <w:rPr>
          <w:rFonts w:asciiTheme="minorHAnsi" w:hAnsiTheme="minorHAnsi" w:cstheme="minorHAnsi"/>
          <w:color w:val="FF0000"/>
          <w:sz w:val="20"/>
          <w:szCs w:val="20"/>
        </w:rPr>
      </w:pPr>
      <w:r w:rsidRPr="000D513C">
        <w:rPr>
          <w:rFonts w:asciiTheme="minorHAnsi" w:hAnsiTheme="minorHAnsi" w:cstheme="minorHAnsi"/>
          <w:sz w:val="20"/>
          <w:szCs w:val="20"/>
        </w:rPr>
        <w:t xml:space="preserve">(3) </w:t>
      </w:r>
      <w:r w:rsidRPr="000D513C">
        <w:rPr>
          <w:rFonts w:asciiTheme="minorHAnsi" w:hAnsiTheme="minorHAnsi" w:cstheme="minorHAnsi"/>
          <w:i/>
          <w:iCs/>
          <w:sz w:val="20"/>
          <w:szCs w:val="20"/>
        </w:rPr>
        <w:t>Unauthorized remittance transfers.</w:t>
      </w:r>
      <w:r w:rsidRPr="000D513C">
        <w:rPr>
          <w:rFonts w:asciiTheme="minorHAnsi" w:hAnsiTheme="minorHAnsi" w:cstheme="minorHAnsi"/>
          <w:sz w:val="20"/>
          <w:szCs w:val="20"/>
        </w:rPr>
        <w:t xml:space="preserve"> If an alleged error involves an unauthorized electronic fund transfer for payment in connection with a remittance transfer, </w:t>
      </w:r>
      <w:r w:rsidRPr="000D513C">
        <w:rPr>
          <w:rFonts w:asciiTheme="minorHAnsi" w:hAnsiTheme="minorHAnsi" w:cstheme="minorHAnsi"/>
          <w:sz w:val="20"/>
          <w:szCs w:val="20"/>
          <w:highlight w:val="yellow"/>
        </w:rPr>
        <w:t>§§1005.6</w:t>
      </w:r>
      <w:r w:rsidRPr="000D513C">
        <w:rPr>
          <w:rFonts w:asciiTheme="minorHAnsi" w:hAnsiTheme="minorHAnsi" w:cstheme="minorHAnsi"/>
          <w:sz w:val="20"/>
          <w:szCs w:val="20"/>
        </w:rPr>
        <w:t xml:space="preserve"> and </w:t>
      </w:r>
      <w:r w:rsidRPr="000D513C">
        <w:rPr>
          <w:rFonts w:asciiTheme="minorHAnsi" w:hAnsiTheme="minorHAnsi" w:cstheme="minorHAnsi"/>
          <w:sz w:val="20"/>
          <w:szCs w:val="20"/>
          <w:highlight w:val="yellow"/>
        </w:rPr>
        <w:t>1005.11</w:t>
      </w:r>
      <w:r w:rsidRPr="000D513C">
        <w:rPr>
          <w:rFonts w:asciiTheme="minorHAnsi" w:hAnsiTheme="minorHAnsi" w:cstheme="minorHAnsi"/>
          <w:sz w:val="20"/>
          <w:szCs w:val="20"/>
        </w:rPr>
        <w:t xml:space="preserve"> apply with respect to the account-holding institution. If an alleged error involves an unauthorized use of a credit account for payment in connection with a remittance transfer, the provisions of Regulation Z, 12 CFR 1026.12(b), if applicable, and §1026.13, apply with respect to the creditor.</w:t>
      </w:r>
    </w:p>
    <w:p w:rsidR="00FE6F1B" w:rsidRPr="00883718" w:rsidRDefault="00FE6F1B" w:rsidP="00FE6F1B">
      <w:pPr>
        <w:pStyle w:val="Default"/>
        <w:rPr>
          <w:rFonts w:asciiTheme="minorHAnsi" w:hAnsiTheme="minorHAnsi" w:cstheme="minorHAnsi"/>
          <w:color w:val="FF0000"/>
        </w:rPr>
      </w:pPr>
    </w:p>
    <w:p w:rsidR="00FE6F1B" w:rsidRPr="00883718" w:rsidRDefault="00FE6F1B" w:rsidP="00FE6F1B">
      <w:pPr>
        <w:spacing w:after="0"/>
        <w:rPr>
          <w:rFonts w:cstheme="minorHAnsi"/>
          <w:color w:val="FF0000"/>
          <w:sz w:val="24"/>
          <w:szCs w:val="24"/>
        </w:rPr>
      </w:pPr>
      <w:r w:rsidRPr="00883718">
        <w:rPr>
          <w:rFonts w:cstheme="minorHAnsi"/>
          <w:color w:val="FF0000"/>
          <w:sz w:val="24"/>
          <w:szCs w:val="24"/>
        </w:rPr>
        <w:t>(Recommended)</w:t>
      </w:r>
    </w:p>
    <w:p w:rsidR="00FE6F1B" w:rsidRPr="00883718" w:rsidRDefault="00FE6F1B" w:rsidP="00FE6F1B">
      <w:pPr>
        <w:pStyle w:val="Default"/>
        <w:rPr>
          <w:rFonts w:asciiTheme="minorHAnsi" w:hAnsiTheme="minorHAnsi" w:cstheme="minorHAnsi"/>
          <w:b/>
          <w:color w:val="auto"/>
          <w:u w:val="single"/>
        </w:rPr>
      </w:pPr>
    </w:p>
    <w:p w:rsidR="00B90BA1" w:rsidRDefault="00B90BA1">
      <w:pPr>
        <w:rPr>
          <w:rFonts w:cstheme="minorHAnsi"/>
          <w:b/>
          <w:sz w:val="24"/>
          <w:szCs w:val="24"/>
          <w:u w:val="single"/>
        </w:rPr>
      </w:pPr>
      <w:r>
        <w:rPr>
          <w:rFonts w:cstheme="minorHAnsi"/>
          <w:b/>
          <w:u w:val="single"/>
        </w:rPr>
        <w:br w:type="page"/>
      </w:r>
    </w:p>
    <w:p w:rsidR="00FE6F1B" w:rsidRPr="00883718" w:rsidRDefault="00FE6F1B" w:rsidP="00FE6F1B">
      <w:pPr>
        <w:pStyle w:val="Default"/>
        <w:rPr>
          <w:rFonts w:asciiTheme="minorHAnsi" w:hAnsiTheme="minorHAnsi" w:cstheme="minorHAnsi"/>
          <w:b/>
          <w:color w:val="auto"/>
          <w:u w:val="single"/>
        </w:rPr>
      </w:pPr>
      <w:r w:rsidRPr="00883718">
        <w:rPr>
          <w:rFonts w:asciiTheme="minorHAnsi" w:hAnsiTheme="minorHAnsi" w:cstheme="minorHAnsi"/>
          <w:b/>
          <w:color w:val="auto"/>
          <w:u w:val="single"/>
        </w:rPr>
        <w:lastRenderedPageBreak/>
        <w:t>Policy 3165 – Loan Workouts &amp; Nonaccrual Standards</w:t>
      </w:r>
    </w:p>
    <w:p w:rsidR="00FE6F1B" w:rsidRPr="00883718" w:rsidRDefault="0077125D" w:rsidP="00FE6F1B">
      <w:pPr>
        <w:pStyle w:val="Default"/>
        <w:rPr>
          <w:rFonts w:asciiTheme="minorHAnsi" w:hAnsiTheme="minorHAnsi" w:cstheme="minorHAnsi"/>
          <w:b/>
          <w:color w:val="auto"/>
          <w:u w:val="single"/>
        </w:rPr>
      </w:pPr>
      <w:r>
        <w:rPr>
          <w:rFonts w:asciiTheme="minorHAnsi" w:hAnsiTheme="minorHAnsi" w:cstheme="minorHAnsi"/>
          <w:b/>
          <w:color w:val="auto"/>
          <w:u w:val="single"/>
        </w:rPr>
        <w:t>2017-1</w:t>
      </w:r>
    </w:p>
    <w:p w:rsidR="00FE6F1B" w:rsidRPr="00883718" w:rsidRDefault="00EC2122" w:rsidP="00FE6F1B">
      <w:pPr>
        <w:pStyle w:val="Default"/>
        <w:rPr>
          <w:rFonts w:asciiTheme="minorHAnsi" w:hAnsiTheme="minorHAnsi" w:cstheme="minorHAnsi"/>
          <w:color w:val="FF0000"/>
        </w:rPr>
      </w:pPr>
      <w:r>
        <w:rPr>
          <w:rFonts w:asciiTheme="minorHAnsi" w:hAnsiTheme="minorHAnsi" w:cstheme="minorHAnsi"/>
          <w:color w:val="auto"/>
        </w:rPr>
        <w:t>This policy was revised to correct the requirement to not authorize additional advances to fund unpaid interest and fees under the appropriate “open-end loan”</w:t>
      </w:r>
      <w:r w:rsidR="00D70B2C">
        <w:rPr>
          <w:rFonts w:asciiTheme="minorHAnsi" w:hAnsiTheme="minorHAnsi" w:cstheme="minorHAnsi"/>
          <w:color w:val="auto"/>
        </w:rPr>
        <w:t xml:space="preserve"> reference in Section 3, B, i.</w:t>
      </w:r>
      <w:r w:rsidR="00FE6F1B" w:rsidRPr="00883718">
        <w:rPr>
          <w:rFonts w:asciiTheme="minorHAnsi" w:hAnsiTheme="minorHAnsi" w:cstheme="minorHAnsi"/>
          <w:color w:val="auto"/>
        </w:rPr>
        <w:t xml:space="preserve"> </w:t>
      </w:r>
      <w:r w:rsidR="00B90BA1">
        <w:rPr>
          <w:rFonts w:asciiTheme="minorHAnsi" w:hAnsiTheme="minorHAnsi" w:cstheme="minorHAnsi"/>
          <w:color w:val="auto"/>
        </w:rPr>
        <w:t xml:space="preserve">  </w:t>
      </w:r>
      <w:r w:rsidR="00FE6F1B" w:rsidRPr="00883718">
        <w:rPr>
          <w:rFonts w:asciiTheme="minorHAnsi" w:hAnsiTheme="minorHAnsi" w:cstheme="minorHAnsi"/>
          <w:color w:val="FF0000"/>
        </w:rPr>
        <w:t>(Recommended)</w:t>
      </w:r>
    </w:p>
    <w:p w:rsidR="00FE6F1B" w:rsidRPr="00883718" w:rsidRDefault="00FE6F1B" w:rsidP="002D1823">
      <w:pPr>
        <w:spacing w:after="0"/>
        <w:rPr>
          <w:rFonts w:cstheme="minorHAnsi"/>
          <w:b/>
          <w:sz w:val="24"/>
          <w:szCs w:val="24"/>
          <w:u w:val="single"/>
        </w:rPr>
      </w:pPr>
    </w:p>
    <w:p w:rsidR="00EC6CDB" w:rsidRPr="00883718" w:rsidRDefault="00EC6CDB" w:rsidP="002D1823">
      <w:pPr>
        <w:spacing w:after="0"/>
        <w:rPr>
          <w:rFonts w:cstheme="minorHAnsi"/>
          <w:b/>
          <w:sz w:val="24"/>
          <w:szCs w:val="24"/>
          <w:u w:val="single"/>
        </w:rPr>
      </w:pPr>
    </w:p>
    <w:p w:rsidR="00A03351" w:rsidRPr="00883718" w:rsidRDefault="00F96232" w:rsidP="00046168">
      <w:pPr>
        <w:spacing w:after="0"/>
        <w:rPr>
          <w:rFonts w:cstheme="minorHAnsi"/>
          <w:b/>
          <w:sz w:val="24"/>
          <w:szCs w:val="24"/>
          <w:u w:val="single"/>
        </w:rPr>
      </w:pPr>
      <w:r w:rsidRPr="00883718">
        <w:rPr>
          <w:rFonts w:cstheme="minorHAnsi"/>
          <w:b/>
          <w:sz w:val="24"/>
          <w:szCs w:val="24"/>
          <w:u w:val="single"/>
        </w:rPr>
        <w:t>Policy 7350 – Ability to Repay</w:t>
      </w:r>
    </w:p>
    <w:p w:rsidR="00F96232" w:rsidRPr="00883718" w:rsidRDefault="0077125D" w:rsidP="00046168">
      <w:pPr>
        <w:spacing w:after="0"/>
        <w:rPr>
          <w:rFonts w:cstheme="minorHAnsi"/>
          <w:b/>
          <w:sz w:val="24"/>
          <w:szCs w:val="24"/>
          <w:u w:val="single"/>
        </w:rPr>
      </w:pPr>
      <w:r>
        <w:rPr>
          <w:rFonts w:cstheme="minorHAnsi"/>
          <w:b/>
          <w:sz w:val="24"/>
          <w:szCs w:val="24"/>
          <w:u w:val="single"/>
        </w:rPr>
        <w:t>2017-1</w:t>
      </w:r>
    </w:p>
    <w:p w:rsidR="00F96232" w:rsidRDefault="00F96232" w:rsidP="00F96232">
      <w:pPr>
        <w:spacing w:after="0"/>
        <w:rPr>
          <w:rFonts w:cstheme="minorHAnsi"/>
          <w:color w:val="FF0000"/>
          <w:sz w:val="24"/>
          <w:szCs w:val="24"/>
        </w:rPr>
      </w:pPr>
      <w:r w:rsidRPr="00883718">
        <w:rPr>
          <w:rFonts w:cstheme="minorHAnsi"/>
          <w:sz w:val="24"/>
          <w:szCs w:val="24"/>
        </w:rPr>
        <w:t xml:space="preserve">Policy 7350 was revised to comply with the annual changes made to the </w:t>
      </w:r>
      <w:hyperlink r:id="rId7" w:history="1">
        <w:r w:rsidRPr="00883718">
          <w:rPr>
            <w:rStyle w:val="Hyperlink"/>
            <w:rFonts w:cstheme="minorHAnsi"/>
            <w:sz w:val="24"/>
            <w:szCs w:val="24"/>
          </w:rPr>
          <w:t>points and fee threshold</w:t>
        </w:r>
      </w:hyperlink>
      <w:r w:rsidR="00D70B2C">
        <w:rPr>
          <w:rStyle w:val="Hyperlink"/>
          <w:rFonts w:cstheme="minorHAnsi"/>
          <w:sz w:val="24"/>
          <w:szCs w:val="24"/>
        </w:rPr>
        <w:t>s</w:t>
      </w:r>
      <w:r w:rsidRPr="00883718">
        <w:rPr>
          <w:rFonts w:cstheme="minorHAnsi"/>
          <w:sz w:val="24"/>
          <w:szCs w:val="24"/>
        </w:rPr>
        <w:t xml:space="preserve"> based on the Consumer Price Index.</w:t>
      </w:r>
      <w:r w:rsidR="00B90BA1">
        <w:rPr>
          <w:rFonts w:cstheme="minorHAnsi"/>
          <w:sz w:val="24"/>
          <w:szCs w:val="24"/>
        </w:rPr>
        <w:t xml:space="preserve">  </w:t>
      </w:r>
      <w:r w:rsidRPr="00883718">
        <w:rPr>
          <w:rFonts w:cstheme="minorHAnsi"/>
          <w:color w:val="FF0000"/>
          <w:sz w:val="24"/>
          <w:szCs w:val="24"/>
        </w:rPr>
        <w:t>(Required)</w:t>
      </w:r>
    </w:p>
    <w:p w:rsidR="00D70B2C" w:rsidRPr="00883718" w:rsidRDefault="00D70B2C" w:rsidP="00F96232">
      <w:pPr>
        <w:spacing w:after="0"/>
        <w:rPr>
          <w:rFonts w:cstheme="minorHAnsi"/>
          <w:color w:val="FF0000"/>
          <w:sz w:val="24"/>
          <w:szCs w:val="24"/>
        </w:rPr>
      </w:pPr>
    </w:p>
    <w:p w:rsidR="00EC6CDB" w:rsidRPr="00883718" w:rsidRDefault="00EC6CDB" w:rsidP="00EC6CDB">
      <w:pPr>
        <w:spacing w:after="0"/>
        <w:rPr>
          <w:rFonts w:cstheme="minorHAnsi"/>
          <w:b/>
          <w:sz w:val="24"/>
          <w:szCs w:val="24"/>
          <w:u w:val="single"/>
        </w:rPr>
      </w:pPr>
      <w:r w:rsidRPr="00883718">
        <w:rPr>
          <w:rFonts w:cstheme="minorHAnsi"/>
          <w:b/>
          <w:sz w:val="24"/>
          <w:szCs w:val="24"/>
          <w:u w:val="single"/>
        </w:rPr>
        <w:t>Policy 7351 – Small Creditor Ability to Repay</w:t>
      </w:r>
    </w:p>
    <w:p w:rsidR="00EC6CDB" w:rsidRPr="00883718" w:rsidRDefault="0077125D" w:rsidP="00EC6CDB">
      <w:pPr>
        <w:spacing w:after="0"/>
        <w:rPr>
          <w:rFonts w:cstheme="minorHAnsi"/>
          <w:b/>
          <w:sz w:val="24"/>
          <w:szCs w:val="24"/>
          <w:u w:val="single"/>
        </w:rPr>
      </w:pPr>
      <w:r>
        <w:rPr>
          <w:rFonts w:cstheme="minorHAnsi"/>
          <w:b/>
          <w:sz w:val="24"/>
          <w:szCs w:val="24"/>
          <w:u w:val="single"/>
        </w:rPr>
        <w:t>2017-1</w:t>
      </w:r>
    </w:p>
    <w:p w:rsidR="00EC6CDB" w:rsidRPr="00883718" w:rsidRDefault="00E33491" w:rsidP="00EC6CDB">
      <w:pPr>
        <w:spacing w:after="0"/>
        <w:rPr>
          <w:rFonts w:cstheme="minorHAnsi"/>
          <w:color w:val="FF0000"/>
          <w:sz w:val="24"/>
          <w:szCs w:val="24"/>
        </w:rPr>
      </w:pPr>
      <w:r>
        <w:rPr>
          <w:rFonts w:cstheme="minorHAnsi"/>
          <w:sz w:val="24"/>
          <w:szCs w:val="24"/>
        </w:rPr>
        <w:t xml:space="preserve">Similar to Policy 7350, this policy was also revised to comply with the annual changes made to the </w:t>
      </w:r>
      <w:hyperlink r:id="rId8" w:history="1">
        <w:r w:rsidRPr="00883718">
          <w:rPr>
            <w:rStyle w:val="Hyperlink"/>
            <w:rFonts w:cstheme="minorHAnsi"/>
            <w:sz w:val="24"/>
            <w:szCs w:val="24"/>
          </w:rPr>
          <w:t>points and fee threshold</w:t>
        </w:r>
      </w:hyperlink>
      <w:r>
        <w:rPr>
          <w:rStyle w:val="Hyperlink"/>
          <w:rFonts w:cstheme="minorHAnsi"/>
          <w:sz w:val="24"/>
          <w:szCs w:val="24"/>
        </w:rPr>
        <w:t>s</w:t>
      </w:r>
      <w:r w:rsidRPr="00883718">
        <w:rPr>
          <w:rFonts w:cstheme="minorHAnsi"/>
          <w:sz w:val="24"/>
          <w:szCs w:val="24"/>
        </w:rPr>
        <w:t xml:space="preserve"> based on the Consumer Price Index.</w:t>
      </w:r>
      <w:r w:rsidR="00B90BA1">
        <w:rPr>
          <w:rFonts w:cstheme="minorHAnsi"/>
          <w:sz w:val="24"/>
          <w:szCs w:val="24"/>
        </w:rPr>
        <w:t xml:space="preserve">  </w:t>
      </w:r>
      <w:r w:rsidR="00EC6CDB" w:rsidRPr="00883718">
        <w:rPr>
          <w:rFonts w:cstheme="minorHAnsi"/>
          <w:color w:val="FF0000"/>
          <w:sz w:val="24"/>
          <w:szCs w:val="24"/>
        </w:rPr>
        <w:t>(Required)</w:t>
      </w:r>
    </w:p>
    <w:p w:rsidR="00CB7D30" w:rsidRPr="00883718" w:rsidRDefault="00CB7D30" w:rsidP="00CB7D30">
      <w:pPr>
        <w:spacing w:after="0" w:line="240" w:lineRule="auto"/>
        <w:rPr>
          <w:rFonts w:cstheme="minorHAnsi"/>
          <w:b/>
          <w:sz w:val="24"/>
          <w:szCs w:val="24"/>
          <w:u w:val="single"/>
        </w:rPr>
      </w:pPr>
    </w:p>
    <w:p w:rsidR="00207BD1" w:rsidRPr="00883718" w:rsidRDefault="00207BD1" w:rsidP="00CB7D30">
      <w:pPr>
        <w:spacing w:after="0" w:line="240" w:lineRule="auto"/>
        <w:rPr>
          <w:rFonts w:cstheme="minorHAnsi"/>
          <w:b/>
          <w:sz w:val="24"/>
          <w:szCs w:val="24"/>
          <w:u w:val="single"/>
        </w:rPr>
      </w:pPr>
      <w:r w:rsidRPr="00883718">
        <w:rPr>
          <w:rFonts w:cstheme="minorHAnsi"/>
          <w:b/>
          <w:sz w:val="24"/>
          <w:szCs w:val="24"/>
          <w:u w:val="single"/>
        </w:rPr>
        <w:t>Policy 7370 – HOEPA Rule Requirement</w:t>
      </w:r>
    </w:p>
    <w:p w:rsidR="00207BD1" w:rsidRPr="00883718" w:rsidRDefault="0077125D" w:rsidP="00CB7D30">
      <w:pPr>
        <w:spacing w:after="0" w:line="240" w:lineRule="auto"/>
        <w:rPr>
          <w:rFonts w:cstheme="minorHAnsi"/>
          <w:b/>
          <w:sz w:val="24"/>
          <w:szCs w:val="24"/>
          <w:u w:val="single"/>
        </w:rPr>
      </w:pPr>
      <w:r>
        <w:rPr>
          <w:rFonts w:cstheme="minorHAnsi"/>
          <w:b/>
          <w:sz w:val="24"/>
          <w:szCs w:val="24"/>
          <w:u w:val="single"/>
        </w:rPr>
        <w:t>2017-1</w:t>
      </w:r>
    </w:p>
    <w:p w:rsidR="00CB7D30" w:rsidRPr="00883718" w:rsidRDefault="00CB7D30" w:rsidP="00B90BA1">
      <w:pPr>
        <w:spacing w:after="0" w:line="240" w:lineRule="auto"/>
        <w:rPr>
          <w:rFonts w:cstheme="minorHAnsi"/>
          <w:color w:val="FF0000"/>
          <w:sz w:val="24"/>
          <w:szCs w:val="24"/>
        </w:rPr>
      </w:pPr>
      <w:r w:rsidRPr="00883718">
        <w:rPr>
          <w:rFonts w:cstheme="minorHAnsi"/>
          <w:sz w:val="24"/>
          <w:szCs w:val="24"/>
        </w:rPr>
        <w:t xml:space="preserve">The </w:t>
      </w:r>
      <w:hyperlink r:id="rId9" w:history="1">
        <w:r w:rsidRPr="00E33491">
          <w:rPr>
            <w:rStyle w:val="Hyperlink"/>
            <w:rFonts w:cstheme="minorHAnsi"/>
            <w:sz w:val="24"/>
            <w:szCs w:val="24"/>
          </w:rPr>
          <w:t>thresholds for determining if a loan is covered under HOEPA</w:t>
        </w:r>
      </w:hyperlink>
      <w:r w:rsidRPr="00883718">
        <w:rPr>
          <w:rFonts w:cstheme="minorHAnsi"/>
          <w:sz w:val="24"/>
          <w:szCs w:val="24"/>
        </w:rPr>
        <w:t xml:space="preserve"> w</w:t>
      </w:r>
      <w:r w:rsidR="00E33491">
        <w:rPr>
          <w:rFonts w:cstheme="minorHAnsi"/>
          <w:sz w:val="24"/>
          <w:szCs w:val="24"/>
        </w:rPr>
        <w:t>ere also adjusted for January 1, 2017 and these amounts were updated in the policy accordingly.</w:t>
      </w:r>
      <w:r w:rsidR="00E33491" w:rsidRPr="00883718">
        <w:rPr>
          <w:rFonts w:cstheme="minorHAnsi"/>
          <w:sz w:val="24"/>
          <w:szCs w:val="24"/>
        </w:rPr>
        <w:t xml:space="preserve"> </w:t>
      </w:r>
      <w:r w:rsidR="00B90BA1">
        <w:rPr>
          <w:rFonts w:cstheme="minorHAnsi"/>
          <w:sz w:val="24"/>
          <w:szCs w:val="24"/>
        </w:rPr>
        <w:t xml:space="preserve">  </w:t>
      </w:r>
      <w:r w:rsidRPr="00883718">
        <w:rPr>
          <w:rFonts w:cstheme="minorHAnsi"/>
          <w:color w:val="FF0000"/>
          <w:sz w:val="24"/>
          <w:szCs w:val="24"/>
        </w:rPr>
        <w:t>(Required)</w:t>
      </w:r>
    </w:p>
    <w:p w:rsidR="00D2065B" w:rsidRDefault="00D2065B" w:rsidP="00D92AE7">
      <w:pPr>
        <w:pStyle w:val="Default"/>
        <w:rPr>
          <w:rFonts w:asciiTheme="minorHAnsi" w:hAnsiTheme="minorHAnsi" w:cstheme="minorHAnsi"/>
          <w:color w:val="auto"/>
        </w:rPr>
      </w:pPr>
    </w:p>
    <w:p w:rsidR="00E1279A" w:rsidRPr="00883718" w:rsidRDefault="00E1279A" w:rsidP="00E1279A">
      <w:pPr>
        <w:pStyle w:val="Default"/>
        <w:rPr>
          <w:rFonts w:asciiTheme="minorHAnsi" w:hAnsiTheme="minorHAnsi" w:cstheme="minorHAnsi"/>
          <w:b/>
          <w:color w:val="auto"/>
          <w:u w:val="single"/>
        </w:rPr>
      </w:pPr>
      <w:r w:rsidRPr="00883718">
        <w:rPr>
          <w:rFonts w:asciiTheme="minorHAnsi" w:hAnsiTheme="minorHAnsi" w:cstheme="minorHAnsi"/>
          <w:b/>
          <w:color w:val="auto"/>
          <w:u w:val="single"/>
        </w:rPr>
        <w:t xml:space="preserve">Policy </w:t>
      </w:r>
      <w:r>
        <w:rPr>
          <w:rFonts w:asciiTheme="minorHAnsi" w:hAnsiTheme="minorHAnsi" w:cstheme="minorHAnsi"/>
          <w:b/>
          <w:color w:val="auto"/>
          <w:u w:val="single"/>
        </w:rPr>
        <w:t>7510 – Collection Process</w:t>
      </w:r>
    </w:p>
    <w:p w:rsidR="00E1279A" w:rsidRPr="00883718" w:rsidRDefault="0077125D" w:rsidP="00E1279A">
      <w:pPr>
        <w:pStyle w:val="Default"/>
        <w:rPr>
          <w:rFonts w:asciiTheme="minorHAnsi" w:hAnsiTheme="minorHAnsi" w:cstheme="minorHAnsi"/>
          <w:b/>
          <w:color w:val="auto"/>
          <w:u w:val="single"/>
        </w:rPr>
      </w:pPr>
      <w:r>
        <w:rPr>
          <w:rFonts w:asciiTheme="minorHAnsi" w:hAnsiTheme="minorHAnsi" w:cstheme="minorHAnsi"/>
          <w:b/>
          <w:color w:val="auto"/>
          <w:u w:val="single"/>
        </w:rPr>
        <w:t>2017-1</w:t>
      </w:r>
    </w:p>
    <w:p w:rsidR="00E1279A" w:rsidRPr="00883718" w:rsidRDefault="00E1279A" w:rsidP="00B90BA1">
      <w:pPr>
        <w:rPr>
          <w:rFonts w:cstheme="minorHAnsi"/>
          <w:color w:val="FF0000"/>
        </w:rPr>
      </w:pPr>
      <w:r>
        <w:rPr>
          <w:rFonts w:cstheme="minorHAnsi"/>
          <w:sz w:val="24"/>
          <w:szCs w:val="24"/>
        </w:rPr>
        <w:t>I</w:t>
      </w:r>
      <w:r w:rsidRPr="00883718">
        <w:rPr>
          <w:rFonts w:cstheme="minorHAnsi"/>
          <w:sz w:val="24"/>
          <w:szCs w:val="24"/>
        </w:rPr>
        <w:t xml:space="preserve">n light of the CFPB’s recent </w:t>
      </w:r>
      <w:hyperlink r:id="rId10" w:history="1">
        <w:r w:rsidRPr="00883718">
          <w:rPr>
            <w:rStyle w:val="Hyperlink"/>
            <w:rFonts w:cstheme="minorHAnsi"/>
            <w:sz w:val="24"/>
            <w:szCs w:val="24"/>
          </w:rPr>
          <w:t>enforcement action</w:t>
        </w:r>
      </w:hyperlink>
      <w:r w:rsidRPr="00883718">
        <w:rPr>
          <w:rFonts w:cstheme="minorHAnsi"/>
          <w:sz w:val="24"/>
          <w:szCs w:val="24"/>
        </w:rPr>
        <w:t xml:space="preserve"> against a credit union for practices found to be unfair, deceptive and/or abusive related to debt collection</w:t>
      </w:r>
      <w:r>
        <w:rPr>
          <w:rFonts w:cstheme="minorHAnsi"/>
          <w:sz w:val="24"/>
          <w:szCs w:val="24"/>
        </w:rPr>
        <w:t xml:space="preserve">, we have made revisions to this policy.  Specifically, we added more detail surrounding language that should be excluded from collections letters and notices, limitations on account restrictions and parameters around communications containing </w:t>
      </w:r>
      <w:r w:rsidR="007607C6">
        <w:rPr>
          <w:rFonts w:cstheme="minorHAnsi"/>
          <w:sz w:val="24"/>
          <w:szCs w:val="24"/>
        </w:rPr>
        <w:t>potential legal action</w:t>
      </w:r>
      <w:r>
        <w:rPr>
          <w:rFonts w:cstheme="minorHAnsi"/>
          <w:sz w:val="24"/>
          <w:szCs w:val="24"/>
        </w:rPr>
        <w:t>.</w:t>
      </w:r>
      <w:r w:rsidR="00B90BA1">
        <w:rPr>
          <w:rFonts w:cstheme="minorHAnsi"/>
          <w:sz w:val="24"/>
          <w:szCs w:val="24"/>
        </w:rPr>
        <w:t xml:space="preserve">  </w:t>
      </w:r>
      <w:r w:rsidR="00B90BA1" w:rsidRPr="00B90BA1">
        <w:rPr>
          <w:rFonts w:cstheme="minorHAnsi"/>
          <w:color w:val="FF0000"/>
          <w:sz w:val="24"/>
          <w:szCs w:val="24"/>
        </w:rPr>
        <w:t>(</w:t>
      </w:r>
      <w:r w:rsidRPr="00883718">
        <w:rPr>
          <w:rFonts w:cstheme="minorHAnsi"/>
          <w:color w:val="FF0000"/>
        </w:rPr>
        <w:t>Recommended)</w:t>
      </w:r>
    </w:p>
    <w:p w:rsidR="00FE6F1B" w:rsidRPr="00883718" w:rsidRDefault="00FE6F1B" w:rsidP="00FE6F1B">
      <w:pPr>
        <w:pStyle w:val="Default"/>
        <w:rPr>
          <w:rFonts w:asciiTheme="minorHAnsi" w:hAnsiTheme="minorHAnsi" w:cstheme="minorHAnsi"/>
          <w:b/>
          <w:color w:val="auto"/>
          <w:u w:val="single"/>
        </w:rPr>
      </w:pPr>
      <w:r w:rsidRPr="00883718">
        <w:rPr>
          <w:rFonts w:asciiTheme="minorHAnsi" w:hAnsiTheme="minorHAnsi" w:cstheme="minorHAnsi"/>
          <w:b/>
          <w:color w:val="auto"/>
          <w:u w:val="single"/>
        </w:rPr>
        <w:t xml:space="preserve">Policy </w:t>
      </w:r>
      <w:r w:rsidR="00E33491">
        <w:rPr>
          <w:rFonts w:asciiTheme="minorHAnsi" w:hAnsiTheme="minorHAnsi" w:cstheme="minorHAnsi"/>
          <w:b/>
          <w:color w:val="auto"/>
          <w:u w:val="single"/>
        </w:rPr>
        <w:t>7520 – Collections Staff Members and Responsibilities</w:t>
      </w:r>
    </w:p>
    <w:p w:rsidR="00FE6F1B" w:rsidRPr="00883718" w:rsidRDefault="0077125D" w:rsidP="00FE6F1B">
      <w:pPr>
        <w:pStyle w:val="Default"/>
        <w:rPr>
          <w:rFonts w:asciiTheme="minorHAnsi" w:hAnsiTheme="minorHAnsi" w:cstheme="minorHAnsi"/>
          <w:b/>
          <w:color w:val="auto"/>
          <w:u w:val="single"/>
        </w:rPr>
      </w:pPr>
      <w:r>
        <w:rPr>
          <w:rFonts w:asciiTheme="minorHAnsi" w:hAnsiTheme="minorHAnsi" w:cstheme="minorHAnsi"/>
          <w:b/>
          <w:color w:val="auto"/>
          <w:u w:val="single"/>
        </w:rPr>
        <w:t>2017-1</w:t>
      </w:r>
    </w:p>
    <w:p w:rsidR="00FE6F1B" w:rsidRPr="00883718" w:rsidRDefault="00E33491" w:rsidP="00B90BA1">
      <w:pPr>
        <w:rPr>
          <w:rFonts w:cstheme="minorHAnsi"/>
          <w:color w:val="FF0000"/>
        </w:rPr>
      </w:pPr>
      <w:r>
        <w:rPr>
          <w:rFonts w:cstheme="minorHAnsi"/>
          <w:sz w:val="24"/>
          <w:szCs w:val="24"/>
        </w:rPr>
        <w:t>I</w:t>
      </w:r>
      <w:r w:rsidRPr="00883718">
        <w:rPr>
          <w:rFonts w:cstheme="minorHAnsi"/>
          <w:sz w:val="24"/>
          <w:szCs w:val="24"/>
        </w:rPr>
        <w:t xml:space="preserve">n light of the CFPB’s recent </w:t>
      </w:r>
      <w:hyperlink r:id="rId11" w:history="1">
        <w:r w:rsidRPr="00883718">
          <w:rPr>
            <w:rStyle w:val="Hyperlink"/>
            <w:rFonts w:cstheme="minorHAnsi"/>
            <w:sz w:val="24"/>
            <w:szCs w:val="24"/>
          </w:rPr>
          <w:t>enforcement action</w:t>
        </w:r>
      </w:hyperlink>
      <w:r w:rsidRPr="00883718">
        <w:rPr>
          <w:rFonts w:cstheme="minorHAnsi"/>
          <w:sz w:val="24"/>
          <w:szCs w:val="24"/>
        </w:rPr>
        <w:t xml:space="preserve"> against a credit union for practices found to be unfair, deceptive and/or abusive related to debt collection</w:t>
      </w:r>
      <w:r w:rsidR="00070AE7">
        <w:rPr>
          <w:rFonts w:cstheme="minorHAnsi"/>
          <w:sz w:val="24"/>
          <w:szCs w:val="24"/>
        </w:rPr>
        <w:t>, we have made revisions</w:t>
      </w:r>
      <w:r w:rsidR="00E1279A">
        <w:rPr>
          <w:rFonts w:cstheme="minorHAnsi"/>
          <w:sz w:val="24"/>
          <w:szCs w:val="24"/>
        </w:rPr>
        <w:t xml:space="preserve"> to this policy.  Specifically, we included provisions on training/education, disciplinary action for violations of policy and also the prohibition of insinuating the credit union provides any form of credit “repair” services.</w:t>
      </w:r>
      <w:r w:rsidR="00B90BA1">
        <w:rPr>
          <w:rFonts w:cstheme="minorHAnsi"/>
          <w:sz w:val="24"/>
          <w:szCs w:val="24"/>
        </w:rPr>
        <w:t xml:space="preserve">  </w:t>
      </w:r>
      <w:r w:rsidR="00FE6F1B" w:rsidRPr="00883718">
        <w:rPr>
          <w:rFonts w:cstheme="minorHAnsi"/>
          <w:color w:val="FF0000"/>
        </w:rPr>
        <w:t>(Recommended)</w:t>
      </w:r>
    </w:p>
    <w:p w:rsidR="00FE6F1B" w:rsidRPr="00883718" w:rsidRDefault="00FE6F1B" w:rsidP="00D92AE7">
      <w:pPr>
        <w:pStyle w:val="Default"/>
        <w:rPr>
          <w:rFonts w:asciiTheme="minorHAnsi" w:hAnsiTheme="minorHAnsi" w:cstheme="minorHAnsi"/>
          <w:color w:val="auto"/>
        </w:rPr>
      </w:pPr>
    </w:p>
    <w:p w:rsidR="00E66864" w:rsidRDefault="00CB6433" w:rsidP="00CB7D30">
      <w:pPr>
        <w:spacing w:after="0" w:line="240" w:lineRule="auto"/>
        <w:rPr>
          <w:rFonts w:cstheme="minorHAnsi"/>
          <w:b/>
          <w:sz w:val="24"/>
          <w:szCs w:val="24"/>
          <w:u w:val="single"/>
        </w:rPr>
      </w:pPr>
      <w:r>
        <w:rPr>
          <w:rFonts w:cstheme="minorHAnsi"/>
          <w:b/>
          <w:sz w:val="24"/>
          <w:szCs w:val="24"/>
          <w:u w:val="single"/>
        </w:rPr>
        <w:t>Policy 9120 – Fair Debt Collection Practices Act</w:t>
      </w:r>
    </w:p>
    <w:p w:rsidR="00CB6433" w:rsidRPr="00883718" w:rsidRDefault="0077125D" w:rsidP="00CB7D30">
      <w:pPr>
        <w:spacing w:after="0" w:line="240" w:lineRule="auto"/>
        <w:rPr>
          <w:rFonts w:cstheme="minorHAnsi"/>
          <w:b/>
          <w:sz w:val="24"/>
          <w:szCs w:val="24"/>
          <w:u w:val="single"/>
        </w:rPr>
      </w:pPr>
      <w:r>
        <w:rPr>
          <w:rFonts w:cstheme="minorHAnsi"/>
          <w:b/>
          <w:sz w:val="24"/>
          <w:szCs w:val="24"/>
          <w:u w:val="single"/>
        </w:rPr>
        <w:t>2017-1</w:t>
      </w:r>
    </w:p>
    <w:p w:rsidR="008938E7" w:rsidRDefault="00CB6433" w:rsidP="00CB7D30">
      <w:pPr>
        <w:spacing w:after="0" w:line="240" w:lineRule="auto"/>
        <w:rPr>
          <w:rFonts w:cstheme="minorHAnsi"/>
          <w:color w:val="FF0000"/>
          <w:sz w:val="24"/>
          <w:szCs w:val="24"/>
        </w:rPr>
      </w:pPr>
      <w:r>
        <w:rPr>
          <w:rFonts w:cstheme="minorHAnsi"/>
          <w:sz w:val="24"/>
          <w:szCs w:val="24"/>
        </w:rPr>
        <w:t>In light of the CFPB’s recent enforcement action against a credit union for practices found to be unfair, deceptive</w:t>
      </w:r>
      <w:r w:rsidR="008938E7">
        <w:rPr>
          <w:rFonts w:cstheme="minorHAnsi"/>
          <w:sz w:val="24"/>
          <w:szCs w:val="24"/>
        </w:rPr>
        <w:t xml:space="preserve"> and/or abusive related to debt collection, we have made revisions to this policy, inclusive of the applicability and </w:t>
      </w:r>
      <w:hyperlink r:id="rId12" w:history="1">
        <w:r w:rsidR="008938E7" w:rsidRPr="008938E7">
          <w:rPr>
            <w:rStyle w:val="Hyperlink"/>
            <w:rFonts w:cstheme="minorHAnsi"/>
            <w:sz w:val="24"/>
            <w:szCs w:val="24"/>
          </w:rPr>
          <w:t>examples of prohibited activities</w:t>
        </w:r>
      </w:hyperlink>
      <w:r w:rsidR="008938E7">
        <w:rPr>
          <w:rFonts w:cstheme="minorHAnsi"/>
          <w:sz w:val="24"/>
          <w:szCs w:val="24"/>
        </w:rPr>
        <w:t xml:space="preserve"> for credit unions collecting their own debts.</w:t>
      </w:r>
      <w:r w:rsidR="00B90BA1">
        <w:rPr>
          <w:rFonts w:cstheme="minorHAnsi"/>
          <w:sz w:val="24"/>
          <w:szCs w:val="24"/>
        </w:rPr>
        <w:t xml:space="preserve">  </w:t>
      </w:r>
      <w:r w:rsidR="008938E7" w:rsidRPr="00883718">
        <w:rPr>
          <w:rFonts w:cstheme="minorHAnsi"/>
          <w:color w:val="FF0000"/>
          <w:sz w:val="24"/>
          <w:szCs w:val="24"/>
        </w:rPr>
        <w:t>(Recommended)</w:t>
      </w:r>
    </w:p>
    <w:p w:rsidR="008938E7" w:rsidRDefault="008938E7" w:rsidP="00CB7D30">
      <w:pPr>
        <w:spacing w:after="0" w:line="240" w:lineRule="auto"/>
        <w:rPr>
          <w:rFonts w:cstheme="minorHAnsi"/>
          <w:b/>
          <w:sz w:val="24"/>
          <w:szCs w:val="24"/>
          <w:u w:val="single"/>
        </w:rPr>
      </w:pPr>
    </w:p>
    <w:p w:rsidR="00B90BA1" w:rsidRDefault="00B90BA1">
      <w:pPr>
        <w:rPr>
          <w:rFonts w:cstheme="minorHAnsi"/>
          <w:b/>
          <w:sz w:val="24"/>
          <w:szCs w:val="24"/>
          <w:u w:val="single"/>
        </w:rPr>
      </w:pPr>
      <w:r>
        <w:rPr>
          <w:rFonts w:cstheme="minorHAnsi"/>
          <w:b/>
          <w:sz w:val="24"/>
          <w:szCs w:val="24"/>
          <w:u w:val="single"/>
        </w:rPr>
        <w:br w:type="page"/>
      </w:r>
    </w:p>
    <w:p w:rsidR="00EB73E0" w:rsidRDefault="00EB73E0" w:rsidP="00CB7D30">
      <w:pPr>
        <w:spacing w:after="0" w:line="240" w:lineRule="auto"/>
        <w:rPr>
          <w:rFonts w:cstheme="minorHAnsi"/>
          <w:b/>
          <w:sz w:val="24"/>
          <w:szCs w:val="24"/>
          <w:u w:val="single"/>
        </w:rPr>
      </w:pPr>
      <w:r>
        <w:rPr>
          <w:rFonts w:cstheme="minorHAnsi"/>
          <w:b/>
          <w:sz w:val="24"/>
          <w:szCs w:val="24"/>
          <w:u w:val="single"/>
        </w:rPr>
        <w:lastRenderedPageBreak/>
        <w:t>Policy 9200 – Home Mortgage Disclosure Act – Regulation C</w:t>
      </w:r>
    </w:p>
    <w:p w:rsidR="00EB73E0" w:rsidRDefault="0077125D" w:rsidP="00CB7D30">
      <w:pPr>
        <w:spacing w:after="0" w:line="240" w:lineRule="auto"/>
        <w:rPr>
          <w:rFonts w:cstheme="minorHAnsi"/>
          <w:b/>
          <w:sz w:val="24"/>
          <w:szCs w:val="24"/>
          <w:u w:val="single"/>
        </w:rPr>
      </w:pPr>
      <w:r>
        <w:rPr>
          <w:rFonts w:cstheme="minorHAnsi"/>
          <w:b/>
          <w:sz w:val="24"/>
          <w:szCs w:val="24"/>
          <w:u w:val="single"/>
        </w:rPr>
        <w:t>2017-1</w:t>
      </w:r>
    </w:p>
    <w:p w:rsidR="00C14330" w:rsidRDefault="00EB73E0" w:rsidP="00CB7D30">
      <w:pPr>
        <w:spacing w:after="0" w:line="240" w:lineRule="auto"/>
        <w:rPr>
          <w:rFonts w:cstheme="minorHAnsi"/>
          <w:color w:val="FF0000"/>
          <w:sz w:val="24"/>
          <w:szCs w:val="24"/>
        </w:rPr>
      </w:pPr>
      <w:r>
        <w:rPr>
          <w:rFonts w:cstheme="minorHAnsi"/>
          <w:sz w:val="24"/>
          <w:szCs w:val="24"/>
        </w:rPr>
        <w:t xml:space="preserve">Significant amendments to the </w:t>
      </w:r>
      <w:hyperlink r:id="rId13" w:history="1">
        <w:r w:rsidRPr="00EB73E0">
          <w:rPr>
            <w:rStyle w:val="Hyperlink"/>
            <w:rFonts w:cstheme="minorHAnsi"/>
            <w:sz w:val="24"/>
            <w:szCs w:val="24"/>
          </w:rPr>
          <w:t>Home Mortgage Disclosure Act (HMDA)</w:t>
        </w:r>
      </w:hyperlink>
      <w:r>
        <w:rPr>
          <w:rFonts w:cstheme="minorHAnsi"/>
          <w:sz w:val="24"/>
          <w:szCs w:val="24"/>
        </w:rPr>
        <w:t xml:space="preserve"> become effective in January, 2018 including the types of institutions covered, types of transactions that are covered, specific information that covered institutions are required to collect, record and report and the processing for rep</w:t>
      </w:r>
      <w:r w:rsidR="00C14330">
        <w:rPr>
          <w:rFonts w:cstheme="minorHAnsi"/>
          <w:sz w:val="24"/>
          <w:szCs w:val="24"/>
        </w:rPr>
        <w:t xml:space="preserve">orting and disclosing data.  </w:t>
      </w:r>
      <w:r w:rsidR="00C14330" w:rsidRPr="00BF1530">
        <w:rPr>
          <w:rFonts w:cstheme="minorHAnsi"/>
          <w:b/>
          <w:i/>
          <w:sz w:val="24"/>
          <w:szCs w:val="24"/>
        </w:rPr>
        <w:t>However, t</w:t>
      </w:r>
      <w:r w:rsidRPr="00BF1530">
        <w:rPr>
          <w:rFonts w:cstheme="minorHAnsi"/>
          <w:b/>
          <w:i/>
          <w:sz w:val="24"/>
          <w:szCs w:val="24"/>
        </w:rPr>
        <w:t xml:space="preserve">here is one provision of HMDA that becomes effective on January 1, 2017 </w:t>
      </w:r>
      <w:r>
        <w:rPr>
          <w:rFonts w:cstheme="minorHAnsi"/>
          <w:sz w:val="24"/>
          <w:szCs w:val="24"/>
        </w:rPr>
        <w:t xml:space="preserve">and that is the definition of a financial institution.  That </w:t>
      </w:r>
      <w:r w:rsidR="00C14330">
        <w:rPr>
          <w:rFonts w:cstheme="minorHAnsi"/>
          <w:sz w:val="24"/>
          <w:szCs w:val="24"/>
        </w:rPr>
        <w:t xml:space="preserve">new definition </w:t>
      </w:r>
      <w:r>
        <w:rPr>
          <w:rFonts w:cstheme="minorHAnsi"/>
          <w:sz w:val="24"/>
          <w:szCs w:val="24"/>
        </w:rPr>
        <w:t xml:space="preserve">has been </w:t>
      </w:r>
      <w:r w:rsidR="00C14330">
        <w:rPr>
          <w:rFonts w:cstheme="minorHAnsi"/>
          <w:sz w:val="24"/>
          <w:szCs w:val="24"/>
        </w:rPr>
        <w:t>incorporated in the updated</w:t>
      </w:r>
      <w:r>
        <w:rPr>
          <w:rFonts w:cstheme="minorHAnsi"/>
          <w:sz w:val="24"/>
          <w:szCs w:val="24"/>
        </w:rPr>
        <w:t xml:space="preserve"> Policy 9200</w:t>
      </w:r>
      <w:r w:rsidR="00170145">
        <w:rPr>
          <w:rFonts w:cstheme="minorHAnsi"/>
          <w:sz w:val="24"/>
          <w:szCs w:val="24"/>
        </w:rPr>
        <w:t>.  The asset size threshold for coverage has not changed for 2017 and remains at $44 million.</w:t>
      </w:r>
      <w:r w:rsidR="00B90BA1">
        <w:rPr>
          <w:rFonts w:cstheme="minorHAnsi"/>
          <w:sz w:val="24"/>
          <w:szCs w:val="24"/>
        </w:rPr>
        <w:t xml:space="preserve">  </w:t>
      </w:r>
      <w:r w:rsidR="00C14330" w:rsidRPr="00883718">
        <w:rPr>
          <w:rFonts w:cstheme="minorHAnsi"/>
          <w:color w:val="FF0000"/>
          <w:sz w:val="24"/>
          <w:szCs w:val="24"/>
        </w:rPr>
        <w:t>(Re</w:t>
      </w:r>
      <w:r w:rsidR="00C14330">
        <w:rPr>
          <w:rFonts w:cstheme="minorHAnsi"/>
          <w:color w:val="FF0000"/>
          <w:sz w:val="24"/>
          <w:szCs w:val="24"/>
        </w:rPr>
        <w:t>quired</w:t>
      </w:r>
      <w:r w:rsidR="00C14330" w:rsidRPr="00883718">
        <w:rPr>
          <w:rFonts w:cstheme="minorHAnsi"/>
          <w:color w:val="FF0000"/>
          <w:sz w:val="24"/>
          <w:szCs w:val="24"/>
        </w:rPr>
        <w:t>)</w:t>
      </w:r>
    </w:p>
    <w:p w:rsidR="00C14330" w:rsidRDefault="00C14330" w:rsidP="00CB7D30">
      <w:pPr>
        <w:spacing w:after="0" w:line="240" w:lineRule="auto"/>
        <w:rPr>
          <w:rFonts w:cstheme="minorHAnsi"/>
          <w:b/>
          <w:sz w:val="24"/>
          <w:szCs w:val="24"/>
          <w:u w:val="single"/>
        </w:rPr>
      </w:pPr>
    </w:p>
    <w:p w:rsidR="00CB7D30" w:rsidRPr="00883718" w:rsidRDefault="00CB7D30" w:rsidP="00CB7D30">
      <w:pPr>
        <w:spacing w:after="0" w:line="240" w:lineRule="auto"/>
        <w:rPr>
          <w:rFonts w:cstheme="minorHAnsi"/>
          <w:b/>
          <w:sz w:val="24"/>
          <w:szCs w:val="24"/>
          <w:u w:val="single"/>
        </w:rPr>
      </w:pPr>
      <w:r w:rsidRPr="00883718">
        <w:rPr>
          <w:rFonts w:cstheme="minorHAnsi"/>
          <w:b/>
          <w:sz w:val="24"/>
          <w:szCs w:val="24"/>
          <w:u w:val="single"/>
        </w:rPr>
        <w:t>Policy 9220 – Home Ownership and Equity Protection Act</w:t>
      </w:r>
    </w:p>
    <w:p w:rsidR="00CB7D30" w:rsidRPr="00883718" w:rsidRDefault="0077125D" w:rsidP="00CB7D30">
      <w:pPr>
        <w:spacing w:after="0" w:line="240" w:lineRule="auto"/>
        <w:rPr>
          <w:rFonts w:cstheme="minorHAnsi"/>
          <w:b/>
          <w:sz w:val="24"/>
          <w:szCs w:val="24"/>
          <w:u w:val="single"/>
        </w:rPr>
      </w:pPr>
      <w:r>
        <w:rPr>
          <w:rFonts w:cstheme="minorHAnsi"/>
          <w:b/>
          <w:sz w:val="24"/>
          <w:szCs w:val="24"/>
          <w:u w:val="single"/>
        </w:rPr>
        <w:t>2017-1</w:t>
      </w:r>
    </w:p>
    <w:p w:rsidR="00CB7D30" w:rsidRPr="00883718" w:rsidRDefault="00E33491" w:rsidP="00B90BA1">
      <w:pPr>
        <w:spacing w:after="0" w:line="240" w:lineRule="auto"/>
        <w:rPr>
          <w:rFonts w:cstheme="minorHAnsi"/>
          <w:color w:val="FF0000"/>
          <w:sz w:val="24"/>
          <w:szCs w:val="24"/>
        </w:rPr>
      </w:pPr>
      <w:r>
        <w:rPr>
          <w:rFonts w:cstheme="minorHAnsi"/>
          <w:sz w:val="24"/>
          <w:szCs w:val="24"/>
        </w:rPr>
        <w:t>Similar to the changes made to Policy 7370, this policy was also revised to adjust the</w:t>
      </w:r>
      <w:r w:rsidR="00CB7D30" w:rsidRPr="00883718">
        <w:rPr>
          <w:rFonts w:cstheme="minorHAnsi"/>
          <w:sz w:val="24"/>
          <w:szCs w:val="24"/>
        </w:rPr>
        <w:t xml:space="preserve"> </w:t>
      </w:r>
      <w:hyperlink r:id="rId14" w:history="1">
        <w:r w:rsidR="00CB7D30" w:rsidRPr="00E33491">
          <w:rPr>
            <w:rStyle w:val="Hyperlink"/>
            <w:rFonts w:cstheme="minorHAnsi"/>
            <w:sz w:val="24"/>
            <w:szCs w:val="24"/>
          </w:rPr>
          <w:t>thresholds for determining if a loan is covered under HOEPA</w:t>
        </w:r>
      </w:hyperlink>
      <w:r>
        <w:rPr>
          <w:rFonts w:cstheme="minorHAnsi"/>
          <w:sz w:val="24"/>
          <w:szCs w:val="24"/>
        </w:rPr>
        <w:t xml:space="preserve">, effective </w:t>
      </w:r>
      <w:r w:rsidRPr="00BF1530">
        <w:rPr>
          <w:rFonts w:cstheme="minorHAnsi"/>
          <w:b/>
          <w:i/>
          <w:sz w:val="24"/>
          <w:szCs w:val="24"/>
        </w:rPr>
        <w:t>January 1, 2017</w:t>
      </w:r>
      <w:r>
        <w:rPr>
          <w:rFonts w:cstheme="minorHAnsi"/>
          <w:sz w:val="24"/>
          <w:szCs w:val="24"/>
        </w:rPr>
        <w:t>.</w:t>
      </w:r>
      <w:r w:rsidR="00B90BA1">
        <w:rPr>
          <w:rFonts w:cstheme="minorHAnsi"/>
          <w:sz w:val="24"/>
          <w:szCs w:val="24"/>
        </w:rPr>
        <w:t xml:space="preserve">  </w:t>
      </w:r>
      <w:r w:rsidR="00CB7D30" w:rsidRPr="00883718">
        <w:rPr>
          <w:rFonts w:cstheme="minorHAnsi"/>
          <w:color w:val="FF0000"/>
          <w:sz w:val="24"/>
          <w:szCs w:val="24"/>
        </w:rPr>
        <w:t>(Required)</w:t>
      </w:r>
    </w:p>
    <w:p w:rsidR="00EC6CDB" w:rsidRPr="00883718" w:rsidRDefault="00EC6CDB" w:rsidP="00CB7D30">
      <w:pPr>
        <w:spacing w:after="0"/>
        <w:rPr>
          <w:rFonts w:cstheme="minorHAnsi"/>
          <w:color w:val="FF0000"/>
          <w:sz w:val="24"/>
          <w:szCs w:val="24"/>
        </w:rPr>
      </w:pPr>
    </w:p>
    <w:p w:rsidR="003C6421" w:rsidRPr="00883718" w:rsidRDefault="003C6421" w:rsidP="003C6421">
      <w:pPr>
        <w:pStyle w:val="Default"/>
        <w:rPr>
          <w:rFonts w:asciiTheme="minorHAnsi" w:hAnsiTheme="minorHAnsi" w:cstheme="minorHAnsi"/>
          <w:b/>
          <w:color w:val="auto"/>
          <w:u w:val="single"/>
        </w:rPr>
      </w:pPr>
      <w:r w:rsidRPr="00883718">
        <w:rPr>
          <w:rFonts w:asciiTheme="minorHAnsi" w:hAnsiTheme="minorHAnsi" w:cstheme="minorHAnsi"/>
          <w:b/>
          <w:color w:val="auto"/>
          <w:u w:val="single"/>
        </w:rPr>
        <w:t>Policy 9420 – Monetary Control Act – Regulation D</w:t>
      </w:r>
    </w:p>
    <w:p w:rsidR="003C6421" w:rsidRPr="00883718" w:rsidRDefault="0077125D" w:rsidP="003C6421">
      <w:pPr>
        <w:pStyle w:val="Default"/>
        <w:rPr>
          <w:rFonts w:asciiTheme="minorHAnsi" w:hAnsiTheme="minorHAnsi" w:cstheme="minorHAnsi"/>
          <w:b/>
          <w:color w:val="auto"/>
          <w:u w:val="single"/>
        </w:rPr>
      </w:pPr>
      <w:r>
        <w:rPr>
          <w:rFonts w:asciiTheme="minorHAnsi" w:hAnsiTheme="minorHAnsi" w:cstheme="minorHAnsi"/>
          <w:b/>
          <w:color w:val="auto"/>
          <w:u w:val="single"/>
        </w:rPr>
        <w:t>2017-1</w:t>
      </w:r>
    </w:p>
    <w:p w:rsidR="003C6421" w:rsidRPr="00883718" w:rsidRDefault="003C6421" w:rsidP="00B90BA1">
      <w:pPr>
        <w:pStyle w:val="Default"/>
        <w:rPr>
          <w:rFonts w:cstheme="minorHAnsi"/>
          <w:color w:val="FF0000"/>
        </w:rPr>
      </w:pPr>
      <w:r w:rsidRPr="00883718">
        <w:rPr>
          <w:rFonts w:asciiTheme="minorHAnsi" w:hAnsiTheme="minorHAnsi" w:cstheme="minorHAnsi"/>
          <w:color w:val="auto"/>
        </w:rPr>
        <w:t xml:space="preserve">Thresholds are changed annually to reflect the </w:t>
      </w:r>
      <w:hyperlink r:id="rId15" w:history="1">
        <w:r w:rsidRPr="001145EC">
          <w:rPr>
            <w:rStyle w:val="Hyperlink"/>
            <w:rFonts w:asciiTheme="minorHAnsi" w:hAnsiTheme="minorHAnsi" w:cstheme="minorHAnsi"/>
          </w:rPr>
          <w:t>annual indexing of the reserve requirement</w:t>
        </w:r>
      </w:hyperlink>
      <w:r w:rsidRPr="00883718">
        <w:rPr>
          <w:rFonts w:asciiTheme="minorHAnsi" w:hAnsiTheme="minorHAnsi" w:cstheme="minorHAnsi"/>
          <w:color w:val="auto"/>
        </w:rPr>
        <w:t xml:space="preserve"> exemption amount.  The policy has been revised to reflect those changes within the policy and effective for 2016.</w:t>
      </w:r>
      <w:r w:rsidR="00B90BA1">
        <w:rPr>
          <w:rFonts w:asciiTheme="minorHAnsi" w:hAnsiTheme="minorHAnsi" w:cstheme="minorHAnsi"/>
          <w:color w:val="auto"/>
        </w:rPr>
        <w:t xml:space="preserve">  </w:t>
      </w:r>
      <w:r w:rsidRPr="00883718">
        <w:rPr>
          <w:rFonts w:cstheme="minorHAnsi"/>
          <w:color w:val="FF0000"/>
        </w:rPr>
        <w:t>(Required)</w:t>
      </w:r>
    </w:p>
    <w:p w:rsidR="003C6421" w:rsidRPr="00883718" w:rsidRDefault="003C6421" w:rsidP="00846D68">
      <w:pPr>
        <w:pStyle w:val="Default"/>
        <w:rPr>
          <w:rFonts w:asciiTheme="minorHAnsi" w:hAnsiTheme="minorHAnsi" w:cstheme="minorHAnsi"/>
          <w:color w:val="FF0000"/>
        </w:rPr>
      </w:pPr>
    </w:p>
    <w:p w:rsidR="00745E5F" w:rsidRPr="00883718" w:rsidRDefault="00EB73E0" w:rsidP="00745E5F">
      <w:pPr>
        <w:pStyle w:val="Default"/>
        <w:rPr>
          <w:rFonts w:asciiTheme="minorHAnsi" w:hAnsiTheme="minorHAnsi" w:cstheme="minorHAnsi"/>
          <w:b/>
          <w:color w:val="auto"/>
          <w:u w:val="single"/>
        </w:rPr>
      </w:pPr>
      <w:r>
        <w:rPr>
          <w:rFonts w:asciiTheme="minorHAnsi" w:hAnsiTheme="minorHAnsi" w:cstheme="minorHAnsi"/>
          <w:b/>
          <w:color w:val="auto"/>
          <w:u w:val="single"/>
        </w:rPr>
        <w:t>Policy 10001 – Record Retention Table 1</w:t>
      </w:r>
      <w:r w:rsidR="00745E5F" w:rsidRPr="00883718">
        <w:rPr>
          <w:rFonts w:asciiTheme="minorHAnsi" w:hAnsiTheme="minorHAnsi" w:cstheme="minorHAnsi"/>
          <w:b/>
          <w:color w:val="auto"/>
          <w:u w:val="single"/>
        </w:rPr>
        <w:t xml:space="preserve"> – </w:t>
      </w:r>
      <w:r>
        <w:rPr>
          <w:rFonts w:asciiTheme="minorHAnsi" w:hAnsiTheme="minorHAnsi" w:cstheme="minorHAnsi"/>
          <w:b/>
          <w:color w:val="auto"/>
          <w:u w:val="single"/>
        </w:rPr>
        <w:t>Corporate</w:t>
      </w:r>
      <w:r w:rsidR="00745E5F" w:rsidRPr="00883718">
        <w:rPr>
          <w:rFonts w:asciiTheme="minorHAnsi" w:hAnsiTheme="minorHAnsi" w:cstheme="minorHAnsi"/>
          <w:b/>
          <w:color w:val="auto"/>
          <w:u w:val="single"/>
        </w:rPr>
        <w:t xml:space="preserve"> Records</w:t>
      </w:r>
    </w:p>
    <w:p w:rsidR="00745E5F" w:rsidRPr="00883718" w:rsidRDefault="0077125D" w:rsidP="00745E5F">
      <w:pPr>
        <w:pStyle w:val="Default"/>
        <w:rPr>
          <w:rFonts w:asciiTheme="minorHAnsi" w:hAnsiTheme="minorHAnsi" w:cstheme="minorHAnsi"/>
          <w:b/>
          <w:color w:val="auto"/>
          <w:u w:val="single"/>
        </w:rPr>
      </w:pPr>
      <w:r>
        <w:rPr>
          <w:rFonts w:asciiTheme="minorHAnsi" w:hAnsiTheme="minorHAnsi" w:cstheme="minorHAnsi"/>
          <w:b/>
          <w:color w:val="auto"/>
          <w:u w:val="single"/>
        </w:rPr>
        <w:t>2017-1</w:t>
      </w:r>
    </w:p>
    <w:p w:rsidR="00745E5F" w:rsidRPr="00883718" w:rsidRDefault="00745E5F" w:rsidP="00745E5F">
      <w:pPr>
        <w:pStyle w:val="Default"/>
        <w:rPr>
          <w:rFonts w:asciiTheme="minorHAnsi" w:hAnsiTheme="minorHAnsi" w:cstheme="minorHAnsi"/>
          <w:color w:val="FF0000"/>
        </w:rPr>
      </w:pPr>
      <w:r w:rsidRPr="00883718">
        <w:rPr>
          <w:rFonts w:asciiTheme="minorHAnsi" w:hAnsiTheme="minorHAnsi" w:cstheme="minorHAnsi"/>
          <w:color w:val="auto"/>
        </w:rPr>
        <w:t xml:space="preserve">The record retention table for </w:t>
      </w:r>
      <w:r w:rsidR="00EB73E0">
        <w:rPr>
          <w:rFonts w:asciiTheme="minorHAnsi" w:hAnsiTheme="minorHAnsi" w:cstheme="minorHAnsi"/>
          <w:color w:val="auto"/>
        </w:rPr>
        <w:t xml:space="preserve">Corporate Records was revised with the correct citations for the permanent record retention of Supervisory Committee audit reports and associated records of account verifications.  The retention for the “Supervisory Committee Records of Account Verification” was changed from “until next verification” to “permanent to correspond with </w:t>
      </w:r>
      <w:hyperlink r:id="rId16" w:anchor="ap12.7.749_15.a" w:history="1">
        <w:r w:rsidR="00EB73E0" w:rsidRPr="00EB73E0">
          <w:rPr>
            <w:rStyle w:val="Hyperlink"/>
            <w:rFonts w:asciiTheme="minorHAnsi" w:hAnsiTheme="minorHAnsi" w:cstheme="minorHAnsi"/>
          </w:rPr>
          <w:t xml:space="preserve">Appendix </w:t>
        </w:r>
        <w:proofErr w:type="gramStart"/>
        <w:r w:rsidR="00EB73E0" w:rsidRPr="00EB73E0">
          <w:rPr>
            <w:rStyle w:val="Hyperlink"/>
            <w:rFonts w:asciiTheme="minorHAnsi" w:hAnsiTheme="minorHAnsi" w:cstheme="minorHAnsi"/>
          </w:rPr>
          <w:t>A</w:t>
        </w:r>
      </w:hyperlink>
      <w:proofErr w:type="gramEnd"/>
      <w:r w:rsidR="00EB73E0">
        <w:rPr>
          <w:rFonts w:asciiTheme="minorHAnsi" w:hAnsiTheme="minorHAnsi" w:cstheme="minorHAnsi"/>
          <w:color w:val="auto"/>
        </w:rPr>
        <w:t xml:space="preserve"> of Part 749 in NCUA’s rules.</w:t>
      </w:r>
      <w:r w:rsidR="00BF1530">
        <w:rPr>
          <w:rFonts w:asciiTheme="minorHAnsi" w:hAnsiTheme="minorHAnsi" w:cstheme="minorHAnsi"/>
          <w:color w:val="auto"/>
        </w:rPr>
        <w:t>”</w:t>
      </w:r>
      <w:r w:rsidR="00EB73E0">
        <w:rPr>
          <w:rFonts w:asciiTheme="minorHAnsi" w:hAnsiTheme="minorHAnsi" w:cstheme="minorHAnsi"/>
          <w:color w:val="auto"/>
        </w:rPr>
        <w:t xml:space="preserve">  NCUA rules (</w:t>
      </w:r>
      <w:hyperlink r:id="rId17" w:anchor="se12.7.715_18" w:history="1">
        <w:r w:rsidR="00EB73E0" w:rsidRPr="00EB73E0">
          <w:rPr>
            <w:rStyle w:val="Hyperlink"/>
            <w:rFonts w:asciiTheme="minorHAnsi" w:hAnsiTheme="minorHAnsi" w:cstheme="minorHAnsi"/>
          </w:rPr>
          <w:t>715.8</w:t>
        </w:r>
      </w:hyperlink>
      <w:r w:rsidR="00EB73E0">
        <w:rPr>
          <w:rFonts w:asciiTheme="minorHAnsi" w:hAnsiTheme="minorHAnsi" w:cstheme="minorHAnsi"/>
          <w:color w:val="auto"/>
        </w:rPr>
        <w:t>) related to the record retention for the Supervisory Committee indicates their requirement to retain the records of each verification of members’ passbooks and accounts until it completes the next verification.  However, the credit union must retain those records permanently according to Part 749.</w:t>
      </w:r>
      <w:r w:rsidR="00B90BA1">
        <w:rPr>
          <w:rFonts w:asciiTheme="minorHAnsi" w:hAnsiTheme="minorHAnsi" w:cstheme="minorHAnsi"/>
          <w:color w:val="auto"/>
        </w:rPr>
        <w:t xml:space="preserve">  </w:t>
      </w:r>
      <w:r w:rsidR="00EB73E0">
        <w:rPr>
          <w:rFonts w:asciiTheme="minorHAnsi" w:hAnsiTheme="minorHAnsi" w:cstheme="minorHAnsi"/>
          <w:color w:val="FF0000"/>
        </w:rPr>
        <w:t>(Required</w:t>
      </w:r>
      <w:r w:rsidRPr="00883718">
        <w:rPr>
          <w:rFonts w:asciiTheme="minorHAnsi" w:hAnsiTheme="minorHAnsi" w:cstheme="minorHAnsi"/>
          <w:color w:val="FF0000"/>
        </w:rPr>
        <w:t>)</w:t>
      </w:r>
    </w:p>
    <w:p w:rsidR="00745E5F" w:rsidRPr="00883718" w:rsidRDefault="00745E5F" w:rsidP="00745E5F">
      <w:pPr>
        <w:pStyle w:val="Default"/>
        <w:rPr>
          <w:rFonts w:asciiTheme="minorHAnsi" w:hAnsiTheme="minorHAnsi" w:cstheme="minorHAnsi"/>
          <w:color w:val="FF0000"/>
        </w:rPr>
      </w:pPr>
    </w:p>
    <w:p w:rsidR="00B9127B" w:rsidRPr="003E390B" w:rsidRDefault="00B9127B" w:rsidP="00846D68">
      <w:pPr>
        <w:pStyle w:val="Default"/>
        <w:rPr>
          <w:color w:val="FF0000"/>
        </w:rPr>
      </w:pPr>
    </w:p>
    <w:sectPr w:rsidR="00B9127B" w:rsidRPr="003E390B" w:rsidSect="00B90B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C6FC0"/>
    <w:multiLevelType w:val="hybridMultilevel"/>
    <w:tmpl w:val="B1602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D8"/>
    <w:rsid w:val="00001267"/>
    <w:rsid w:val="0000557B"/>
    <w:rsid w:val="000106B2"/>
    <w:rsid w:val="00013026"/>
    <w:rsid w:val="00014B57"/>
    <w:rsid w:val="000200F1"/>
    <w:rsid w:val="00021C22"/>
    <w:rsid w:val="00023FAB"/>
    <w:rsid w:val="000315F8"/>
    <w:rsid w:val="00036400"/>
    <w:rsid w:val="00036F5A"/>
    <w:rsid w:val="00046168"/>
    <w:rsid w:val="0004761E"/>
    <w:rsid w:val="00051FA8"/>
    <w:rsid w:val="0005660F"/>
    <w:rsid w:val="00056718"/>
    <w:rsid w:val="00061545"/>
    <w:rsid w:val="00067B62"/>
    <w:rsid w:val="00070AE7"/>
    <w:rsid w:val="00074839"/>
    <w:rsid w:val="000755E7"/>
    <w:rsid w:val="00080D3A"/>
    <w:rsid w:val="000811F3"/>
    <w:rsid w:val="00085236"/>
    <w:rsid w:val="00086A3A"/>
    <w:rsid w:val="00090672"/>
    <w:rsid w:val="00090DD5"/>
    <w:rsid w:val="00091126"/>
    <w:rsid w:val="000A27D8"/>
    <w:rsid w:val="000A6AA2"/>
    <w:rsid w:val="000A751A"/>
    <w:rsid w:val="000D513C"/>
    <w:rsid w:val="000F08D3"/>
    <w:rsid w:val="000F53B2"/>
    <w:rsid w:val="000F54EA"/>
    <w:rsid w:val="000F71D8"/>
    <w:rsid w:val="00102A64"/>
    <w:rsid w:val="00107530"/>
    <w:rsid w:val="001109C1"/>
    <w:rsid w:val="0011371C"/>
    <w:rsid w:val="001145EC"/>
    <w:rsid w:val="00114DA7"/>
    <w:rsid w:val="00114F4B"/>
    <w:rsid w:val="00115A78"/>
    <w:rsid w:val="0012611D"/>
    <w:rsid w:val="00127EB4"/>
    <w:rsid w:val="00127FDE"/>
    <w:rsid w:val="00132756"/>
    <w:rsid w:val="001368D2"/>
    <w:rsid w:val="001400C1"/>
    <w:rsid w:val="00162FFE"/>
    <w:rsid w:val="00165DDE"/>
    <w:rsid w:val="00170145"/>
    <w:rsid w:val="00170834"/>
    <w:rsid w:val="00171B34"/>
    <w:rsid w:val="00180102"/>
    <w:rsid w:val="00183EC0"/>
    <w:rsid w:val="00184E95"/>
    <w:rsid w:val="00194E96"/>
    <w:rsid w:val="00196302"/>
    <w:rsid w:val="001B20CA"/>
    <w:rsid w:val="001B38F4"/>
    <w:rsid w:val="001B4DCC"/>
    <w:rsid w:val="001C50D8"/>
    <w:rsid w:val="001D376F"/>
    <w:rsid w:val="001D4B3E"/>
    <w:rsid w:val="001E0DE6"/>
    <w:rsid w:val="001E5678"/>
    <w:rsid w:val="001F143C"/>
    <w:rsid w:val="001F23BF"/>
    <w:rsid w:val="001F3E1A"/>
    <w:rsid w:val="002019D5"/>
    <w:rsid w:val="0020263F"/>
    <w:rsid w:val="00207BD1"/>
    <w:rsid w:val="002112F0"/>
    <w:rsid w:val="00211A86"/>
    <w:rsid w:val="0021217B"/>
    <w:rsid w:val="00216198"/>
    <w:rsid w:val="00220082"/>
    <w:rsid w:val="0022236F"/>
    <w:rsid w:val="002364CB"/>
    <w:rsid w:val="00245233"/>
    <w:rsid w:val="00250369"/>
    <w:rsid w:val="00255644"/>
    <w:rsid w:val="00262A25"/>
    <w:rsid w:val="00271634"/>
    <w:rsid w:val="00285927"/>
    <w:rsid w:val="00285F20"/>
    <w:rsid w:val="002925C1"/>
    <w:rsid w:val="00294923"/>
    <w:rsid w:val="002A13A4"/>
    <w:rsid w:val="002A262C"/>
    <w:rsid w:val="002B4DDE"/>
    <w:rsid w:val="002B5230"/>
    <w:rsid w:val="002B54E5"/>
    <w:rsid w:val="002B7C4D"/>
    <w:rsid w:val="002C3E12"/>
    <w:rsid w:val="002C6577"/>
    <w:rsid w:val="002D1823"/>
    <w:rsid w:val="002D55B6"/>
    <w:rsid w:val="002E41DB"/>
    <w:rsid w:val="00302A2A"/>
    <w:rsid w:val="00304E16"/>
    <w:rsid w:val="00317A11"/>
    <w:rsid w:val="00317B45"/>
    <w:rsid w:val="00324F95"/>
    <w:rsid w:val="00336997"/>
    <w:rsid w:val="0033754E"/>
    <w:rsid w:val="003437B4"/>
    <w:rsid w:val="0035450C"/>
    <w:rsid w:val="00354E7B"/>
    <w:rsid w:val="0036254E"/>
    <w:rsid w:val="00363693"/>
    <w:rsid w:val="00373A26"/>
    <w:rsid w:val="003922D3"/>
    <w:rsid w:val="003948E3"/>
    <w:rsid w:val="003957E3"/>
    <w:rsid w:val="003A096C"/>
    <w:rsid w:val="003A24A8"/>
    <w:rsid w:val="003B76CF"/>
    <w:rsid w:val="003C3BF2"/>
    <w:rsid w:val="003C50F3"/>
    <w:rsid w:val="003C6421"/>
    <w:rsid w:val="003C7772"/>
    <w:rsid w:val="003D6804"/>
    <w:rsid w:val="003E390B"/>
    <w:rsid w:val="003E5DB4"/>
    <w:rsid w:val="003F699B"/>
    <w:rsid w:val="00403D7A"/>
    <w:rsid w:val="0041378D"/>
    <w:rsid w:val="004150D9"/>
    <w:rsid w:val="0041662E"/>
    <w:rsid w:val="0042683F"/>
    <w:rsid w:val="004336BD"/>
    <w:rsid w:val="00433EF0"/>
    <w:rsid w:val="00434F4C"/>
    <w:rsid w:val="00440E8C"/>
    <w:rsid w:val="00442B0C"/>
    <w:rsid w:val="0044472E"/>
    <w:rsid w:val="0044495B"/>
    <w:rsid w:val="00447E97"/>
    <w:rsid w:val="0045433D"/>
    <w:rsid w:val="004546F3"/>
    <w:rsid w:val="0046118A"/>
    <w:rsid w:val="004641CE"/>
    <w:rsid w:val="004650E6"/>
    <w:rsid w:val="00475180"/>
    <w:rsid w:val="00477A02"/>
    <w:rsid w:val="0048261F"/>
    <w:rsid w:val="004831DF"/>
    <w:rsid w:val="00487A9F"/>
    <w:rsid w:val="00491607"/>
    <w:rsid w:val="00497204"/>
    <w:rsid w:val="004A1235"/>
    <w:rsid w:val="004A5149"/>
    <w:rsid w:val="004A722E"/>
    <w:rsid w:val="004C4421"/>
    <w:rsid w:val="004C5582"/>
    <w:rsid w:val="004C7FB4"/>
    <w:rsid w:val="004D3048"/>
    <w:rsid w:val="004D79B0"/>
    <w:rsid w:val="004F0AD5"/>
    <w:rsid w:val="004F11B2"/>
    <w:rsid w:val="004F73DA"/>
    <w:rsid w:val="00500F85"/>
    <w:rsid w:val="00503B1C"/>
    <w:rsid w:val="00503C98"/>
    <w:rsid w:val="0051031B"/>
    <w:rsid w:val="005200EE"/>
    <w:rsid w:val="00523EE0"/>
    <w:rsid w:val="00525093"/>
    <w:rsid w:val="005346E5"/>
    <w:rsid w:val="00534AA5"/>
    <w:rsid w:val="00540943"/>
    <w:rsid w:val="0054265A"/>
    <w:rsid w:val="005446F2"/>
    <w:rsid w:val="00550350"/>
    <w:rsid w:val="00555DB0"/>
    <w:rsid w:val="00572303"/>
    <w:rsid w:val="005822FE"/>
    <w:rsid w:val="00587D3D"/>
    <w:rsid w:val="005931AD"/>
    <w:rsid w:val="00596B90"/>
    <w:rsid w:val="00597492"/>
    <w:rsid w:val="005A35C1"/>
    <w:rsid w:val="005A3712"/>
    <w:rsid w:val="005A48A7"/>
    <w:rsid w:val="005C1731"/>
    <w:rsid w:val="005C2ECC"/>
    <w:rsid w:val="005C3108"/>
    <w:rsid w:val="005D21FE"/>
    <w:rsid w:val="005D3449"/>
    <w:rsid w:val="005E0B0E"/>
    <w:rsid w:val="005E19F2"/>
    <w:rsid w:val="005F422A"/>
    <w:rsid w:val="0060371C"/>
    <w:rsid w:val="00620723"/>
    <w:rsid w:val="00626499"/>
    <w:rsid w:val="0062666A"/>
    <w:rsid w:val="0063198E"/>
    <w:rsid w:val="006341F1"/>
    <w:rsid w:val="006345C2"/>
    <w:rsid w:val="00652C5D"/>
    <w:rsid w:val="00653748"/>
    <w:rsid w:val="00673691"/>
    <w:rsid w:val="006755D9"/>
    <w:rsid w:val="00681339"/>
    <w:rsid w:val="0068229E"/>
    <w:rsid w:val="00684A7D"/>
    <w:rsid w:val="00685F2B"/>
    <w:rsid w:val="006875CB"/>
    <w:rsid w:val="006902F5"/>
    <w:rsid w:val="00696776"/>
    <w:rsid w:val="006A33EC"/>
    <w:rsid w:val="006A38F2"/>
    <w:rsid w:val="006A5937"/>
    <w:rsid w:val="006A5AE2"/>
    <w:rsid w:val="006B3AF6"/>
    <w:rsid w:val="006B5506"/>
    <w:rsid w:val="006C2A4C"/>
    <w:rsid w:val="006D33B1"/>
    <w:rsid w:val="006D6769"/>
    <w:rsid w:val="006E24B3"/>
    <w:rsid w:val="006F2F2F"/>
    <w:rsid w:val="006F4AB0"/>
    <w:rsid w:val="007015C0"/>
    <w:rsid w:val="00701F78"/>
    <w:rsid w:val="007075F0"/>
    <w:rsid w:val="00721A21"/>
    <w:rsid w:val="007268EA"/>
    <w:rsid w:val="007344A8"/>
    <w:rsid w:val="00736B7D"/>
    <w:rsid w:val="00736D4C"/>
    <w:rsid w:val="0074024B"/>
    <w:rsid w:val="00745E5F"/>
    <w:rsid w:val="007462AE"/>
    <w:rsid w:val="00752D47"/>
    <w:rsid w:val="007607C6"/>
    <w:rsid w:val="00765780"/>
    <w:rsid w:val="0077125D"/>
    <w:rsid w:val="00777238"/>
    <w:rsid w:val="007862A9"/>
    <w:rsid w:val="007915F9"/>
    <w:rsid w:val="0079185B"/>
    <w:rsid w:val="00796FA6"/>
    <w:rsid w:val="007E3A54"/>
    <w:rsid w:val="007E3E35"/>
    <w:rsid w:val="007E48FD"/>
    <w:rsid w:val="007E6E43"/>
    <w:rsid w:val="007F0523"/>
    <w:rsid w:val="00800355"/>
    <w:rsid w:val="00802662"/>
    <w:rsid w:val="0080331E"/>
    <w:rsid w:val="00806885"/>
    <w:rsid w:val="00807413"/>
    <w:rsid w:val="0082498F"/>
    <w:rsid w:val="00834200"/>
    <w:rsid w:val="00836C99"/>
    <w:rsid w:val="00841393"/>
    <w:rsid w:val="008428BD"/>
    <w:rsid w:val="00846D68"/>
    <w:rsid w:val="00857E3F"/>
    <w:rsid w:val="00861803"/>
    <w:rsid w:val="008644E7"/>
    <w:rsid w:val="00866E5D"/>
    <w:rsid w:val="008714FD"/>
    <w:rsid w:val="00872BBC"/>
    <w:rsid w:val="00875714"/>
    <w:rsid w:val="008815A4"/>
    <w:rsid w:val="00883718"/>
    <w:rsid w:val="008938E7"/>
    <w:rsid w:val="00893CEC"/>
    <w:rsid w:val="008A01EB"/>
    <w:rsid w:val="008B5AFF"/>
    <w:rsid w:val="008B7C92"/>
    <w:rsid w:val="008C06ED"/>
    <w:rsid w:val="008C2150"/>
    <w:rsid w:val="008D7403"/>
    <w:rsid w:val="008E43D9"/>
    <w:rsid w:val="008E7344"/>
    <w:rsid w:val="008F24DE"/>
    <w:rsid w:val="008F5787"/>
    <w:rsid w:val="009029BC"/>
    <w:rsid w:val="00904429"/>
    <w:rsid w:val="009056E4"/>
    <w:rsid w:val="009235C5"/>
    <w:rsid w:val="00923A41"/>
    <w:rsid w:val="00924E86"/>
    <w:rsid w:val="00926067"/>
    <w:rsid w:val="0093058B"/>
    <w:rsid w:val="00934CEB"/>
    <w:rsid w:val="0093734C"/>
    <w:rsid w:val="009514F0"/>
    <w:rsid w:val="00951ABD"/>
    <w:rsid w:val="009523BB"/>
    <w:rsid w:val="00963321"/>
    <w:rsid w:val="009674A5"/>
    <w:rsid w:val="0097362F"/>
    <w:rsid w:val="0097466A"/>
    <w:rsid w:val="00980E72"/>
    <w:rsid w:val="009821CE"/>
    <w:rsid w:val="0098222A"/>
    <w:rsid w:val="00984E09"/>
    <w:rsid w:val="00985550"/>
    <w:rsid w:val="009930F1"/>
    <w:rsid w:val="009A7ACC"/>
    <w:rsid w:val="009C14E6"/>
    <w:rsid w:val="009C2441"/>
    <w:rsid w:val="009C2934"/>
    <w:rsid w:val="009C4F46"/>
    <w:rsid w:val="009D07F1"/>
    <w:rsid w:val="009D31D5"/>
    <w:rsid w:val="009E5306"/>
    <w:rsid w:val="009E56B7"/>
    <w:rsid w:val="009E6678"/>
    <w:rsid w:val="009F2FC9"/>
    <w:rsid w:val="009F38A1"/>
    <w:rsid w:val="00A03351"/>
    <w:rsid w:val="00A03C5E"/>
    <w:rsid w:val="00A150E8"/>
    <w:rsid w:val="00A27340"/>
    <w:rsid w:val="00A31E48"/>
    <w:rsid w:val="00A3721D"/>
    <w:rsid w:val="00A462B8"/>
    <w:rsid w:val="00A4655B"/>
    <w:rsid w:val="00A4686F"/>
    <w:rsid w:val="00A47473"/>
    <w:rsid w:val="00A47FAE"/>
    <w:rsid w:val="00A632FF"/>
    <w:rsid w:val="00A66EBE"/>
    <w:rsid w:val="00A719B9"/>
    <w:rsid w:val="00A763E1"/>
    <w:rsid w:val="00AA0106"/>
    <w:rsid w:val="00AA3F29"/>
    <w:rsid w:val="00AA5B1A"/>
    <w:rsid w:val="00AA7553"/>
    <w:rsid w:val="00AB0A58"/>
    <w:rsid w:val="00AB7419"/>
    <w:rsid w:val="00AC4E47"/>
    <w:rsid w:val="00AD0567"/>
    <w:rsid w:val="00AE13DC"/>
    <w:rsid w:val="00AF12D8"/>
    <w:rsid w:val="00AF3DED"/>
    <w:rsid w:val="00AF5779"/>
    <w:rsid w:val="00B04FC4"/>
    <w:rsid w:val="00B25593"/>
    <w:rsid w:val="00B32571"/>
    <w:rsid w:val="00B513B6"/>
    <w:rsid w:val="00B51894"/>
    <w:rsid w:val="00B52136"/>
    <w:rsid w:val="00B563E1"/>
    <w:rsid w:val="00B60BBA"/>
    <w:rsid w:val="00B659C4"/>
    <w:rsid w:val="00B66CF6"/>
    <w:rsid w:val="00B67303"/>
    <w:rsid w:val="00B81F9D"/>
    <w:rsid w:val="00B842D4"/>
    <w:rsid w:val="00B90BA1"/>
    <w:rsid w:val="00B9127B"/>
    <w:rsid w:val="00B94637"/>
    <w:rsid w:val="00BA1F65"/>
    <w:rsid w:val="00BA26B2"/>
    <w:rsid w:val="00BA430F"/>
    <w:rsid w:val="00BB0AED"/>
    <w:rsid w:val="00BB140A"/>
    <w:rsid w:val="00BB59B8"/>
    <w:rsid w:val="00BC51D5"/>
    <w:rsid w:val="00BD1B72"/>
    <w:rsid w:val="00BD4441"/>
    <w:rsid w:val="00BE0DFF"/>
    <w:rsid w:val="00BE3E26"/>
    <w:rsid w:val="00BF1530"/>
    <w:rsid w:val="00BF501E"/>
    <w:rsid w:val="00C02A7B"/>
    <w:rsid w:val="00C14330"/>
    <w:rsid w:val="00C15BB8"/>
    <w:rsid w:val="00C21218"/>
    <w:rsid w:val="00C21422"/>
    <w:rsid w:val="00C21978"/>
    <w:rsid w:val="00C2260D"/>
    <w:rsid w:val="00C22AD6"/>
    <w:rsid w:val="00C250D5"/>
    <w:rsid w:val="00C2705D"/>
    <w:rsid w:val="00C30421"/>
    <w:rsid w:val="00C364D2"/>
    <w:rsid w:val="00C44706"/>
    <w:rsid w:val="00C53582"/>
    <w:rsid w:val="00C567E8"/>
    <w:rsid w:val="00C57F9B"/>
    <w:rsid w:val="00C64F2C"/>
    <w:rsid w:val="00C7600B"/>
    <w:rsid w:val="00C80027"/>
    <w:rsid w:val="00C87CA8"/>
    <w:rsid w:val="00C940C8"/>
    <w:rsid w:val="00CB6433"/>
    <w:rsid w:val="00CB7D30"/>
    <w:rsid w:val="00CC1E6E"/>
    <w:rsid w:val="00CD6D27"/>
    <w:rsid w:val="00CE7F1A"/>
    <w:rsid w:val="00CF13FC"/>
    <w:rsid w:val="00D15BFB"/>
    <w:rsid w:val="00D15EB1"/>
    <w:rsid w:val="00D2065B"/>
    <w:rsid w:val="00D356EE"/>
    <w:rsid w:val="00D46A66"/>
    <w:rsid w:val="00D47ADC"/>
    <w:rsid w:val="00D52AFA"/>
    <w:rsid w:val="00D603ED"/>
    <w:rsid w:val="00D62DA6"/>
    <w:rsid w:val="00D70B2C"/>
    <w:rsid w:val="00D72903"/>
    <w:rsid w:val="00D83E33"/>
    <w:rsid w:val="00D85BE1"/>
    <w:rsid w:val="00D92AE7"/>
    <w:rsid w:val="00D94E6D"/>
    <w:rsid w:val="00D94F80"/>
    <w:rsid w:val="00D95A72"/>
    <w:rsid w:val="00DA40ED"/>
    <w:rsid w:val="00DA5E05"/>
    <w:rsid w:val="00DC60F2"/>
    <w:rsid w:val="00DD4809"/>
    <w:rsid w:val="00DD4AD7"/>
    <w:rsid w:val="00DE3201"/>
    <w:rsid w:val="00DF02AD"/>
    <w:rsid w:val="00DF383E"/>
    <w:rsid w:val="00E04720"/>
    <w:rsid w:val="00E05AF5"/>
    <w:rsid w:val="00E104E2"/>
    <w:rsid w:val="00E1279A"/>
    <w:rsid w:val="00E14527"/>
    <w:rsid w:val="00E22808"/>
    <w:rsid w:val="00E2597A"/>
    <w:rsid w:val="00E32B47"/>
    <w:rsid w:val="00E33491"/>
    <w:rsid w:val="00E33782"/>
    <w:rsid w:val="00E34BA5"/>
    <w:rsid w:val="00E35FA8"/>
    <w:rsid w:val="00E37C05"/>
    <w:rsid w:val="00E40AC8"/>
    <w:rsid w:val="00E46C44"/>
    <w:rsid w:val="00E5247F"/>
    <w:rsid w:val="00E65221"/>
    <w:rsid w:val="00E66864"/>
    <w:rsid w:val="00E75AAB"/>
    <w:rsid w:val="00E838C4"/>
    <w:rsid w:val="00E8487F"/>
    <w:rsid w:val="00E90AFC"/>
    <w:rsid w:val="00EA23BF"/>
    <w:rsid w:val="00EA281C"/>
    <w:rsid w:val="00EB19FD"/>
    <w:rsid w:val="00EB5634"/>
    <w:rsid w:val="00EB73E0"/>
    <w:rsid w:val="00EC2122"/>
    <w:rsid w:val="00EC2A67"/>
    <w:rsid w:val="00EC6CDB"/>
    <w:rsid w:val="00ED2205"/>
    <w:rsid w:val="00EE0453"/>
    <w:rsid w:val="00EE43AE"/>
    <w:rsid w:val="00F031B4"/>
    <w:rsid w:val="00F109F1"/>
    <w:rsid w:val="00F21436"/>
    <w:rsid w:val="00F30B7A"/>
    <w:rsid w:val="00F42D3D"/>
    <w:rsid w:val="00F4480E"/>
    <w:rsid w:val="00F54F33"/>
    <w:rsid w:val="00F609AE"/>
    <w:rsid w:val="00F63104"/>
    <w:rsid w:val="00F63D61"/>
    <w:rsid w:val="00F87A23"/>
    <w:rsid w:val="00F92157"/>
    <w:rsid w:val="00F96232"/>
    <w:rsid w:val="00F9641C"/>
    <w:rsid w:val="00F97BF4"/>
    <w:rsid w:val="00FA62F2"/>
    <w:rsid w:val="00FB0D7B"/>
    <w:rsid w:val="00FC0BBD"/>
    <w:rsid w:val="00FC425B"/>
    <w:rsid w:val="00FD39F7"/>
    <w:rsid w:val="00FE207A"/>
    <w:rsid w:val="00FE6F1B"/>
    <w:rsid w:val="00FF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2FCC5-99F9-423D-A59A-68A7A44B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DDE"/>
    <w:rPr>
      <w:color w:val="0000FF" w:themeColor="hyperlink"/>
      <w:u w:val="single"/>
    </w:rPr>
  </w:style>
  <w:style w:type="character" w:styleId="FollowedHyperlink">
    <w:name w:val="FollowedHyperlink"/>
    <w:basedOn w:val="DefaultParagraphFont"/>
    <w:uiPriority w:val="99"/>
    <w:semiHidden/>
    <w:unhideWhenUsed/>
    <w:rsid w:val="00BD1B72"/>
    <w:rPr>
      <w:color w:val="800080" w:themeColor="followedHyperlink"/>
      <w:u w:val="single"/>
    </w:rPr>
  </w:style>
  <w:style w:type="paragraph" w:customStyle="1" w:styleId="Default">
    <w:name w:val="Default"/>
    <w:rsid w:val="00DE320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9127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2339">
      <w:bodyDiv w:val="1"/>
      <w:marLeft w:val="0"/>
      <w:marRight w:val="0"/>
      <w:marTop w:val="0"/>
      <w:marBottom w:val="0"/>
      <w:divBdr>
        <w:top w:val="none" w:sz="0" w:space="0" w:color="auto"/>
        <w:left w:val="none" w:sz="0" w:space="0" w:color="auto"/>
        <w:bottom w:val="none" w:sz="0" w:space="0" w:color="auto"/>
        <w:right w:val="none" w:sz="0" w:space="0" w:color="auto"/>
      </w:divBdr>
    </w:div>
    <w:div w:id="33845904">
      <w:bodyDiv w:val="1"/>
      <w:marLeft w:val="0"/>
      <w:marRight w:val="0"/>
      <w:marTop w:val="0"/>
      <w:marBottom w:val="0"/>
      <w:divBdr>
        <w:top w:val="none" w:sz="0" w:space="0" w:color="auto"/>
        <w:left w:val="none" w:sz="0" w:space="0" w:color="auto"/>
        <w:bottom w:val="none" w:sz="0" w:space="0" w:color="auto"/>
        <w:right w:val="none" w:sz="0" w:space="0" w:color="auto"/>
      </w:divBdr>
    </w:div>
    <w:div w:id="553468289">
      <w:bodyDiv w:val="1"/>
      <w:marLeft w:val="0"/>
      <w:marRight w:val="0"/>
      <w:marTop w:val="0"/>
      <w:marBottom w:val="0"/>
      <w:divBdr>
        <w:top w:val="none" w:sz="0" w:space="0" w:color="auto"/>
        <w:left w:val="none" w:sz="0" w:space="0" w:color="auto"/>
        <w:bottom w:val="none" w:sz="0" w:space="0" w:color="auto"/>
        <w:right w:val="none" w:sz="0" w:space="0" w:color="auto"/>
      </w:divBdr>
    </w:div>
    <w:div w:id="962073202">
      <w:bodyDiv w:val="1"/>
      <w:marLeft w:val="0"/>
      <w:marRight w:val="0"/>
      <w:marTop w:val="0"/>
      <w:marBottom w:val="0"/>
      <w:divBdr>
        <w:top w:val="none" w:sz="0" w:space="0" w:color="auto"/>
        <w:left w:val="none" w:sz="0" w:space="0" w:color="auto"/>
        <w:bottom w:val="none" w:sz="0" w:space="0" w:color="auto"/>
        <w:right w:val="none" w:sz="0" w:space="0" w:color="auto"/>
      </w:divBdr>
    </w:div>
    <w:div w:id="1052923117">
      <w:bodyDiv w:val="1"/>
      <w:marLeft w:val="0"/>
      <w:marRight w:val="0"/>
      <w:marTop w:val="0"/>
      <w:marBottom w:val="0"/>
      <w:divBdr>
        <w:top w:val="none" w:sz="0" w:space="0" w:color="auto"/>
        <w:left w:val="none" w:sz="0" w:space="0" w:color="auto"/>
        <w:bottom w:val="none" w:sz="0" w:space="0" w:color="auto"/>
        <w:right w:val="none" w:sz="0" w:space="0" w:color="auto"/>
      </w:divBdr>
    </w:div>
    <w:div w:id="1074933893">
      <w:bodyDiv w:val="1"/>
      <w:marLeft w:val="0"/>
      <w:marRight w:val="0"/>
      <w:marTop w:val="0"/>
      <w:marBottom w:val="0"/>
      <w:divBdr>
        <w:top w:val="none" w:sz="0" w:space="0" w:color="auto"/>
        <w:left w:val="none" w:sz="0" w:space="0" w:color="auto"/>
        <w:bottom w:val="none" w:sz="0" w:space="0" w:color="auto"/>
        <w:right w:val="none" w:sz="0" w:space="0" w:color="auto"/>
      </w:divBdr>
    </w:div>
    <w:div w:id="1633710936">
      <w:bodyDiv w:val="1"/>
      <w:marLeft w:val="0"/>
      <w:marRight w:val="0"/>
      <w:marTop w:val="0"/>
      <w:marBottom w:val="0"/>
      <w:divBdr>
        <w:top w:val="none" w:sz="0" w:space="0" w:color="auto"/>
        <w:left w:val="none" w:sz="0" w:space="0" w:color="auto"/>
        <w:bottom w:val="none" w:sz="0" w:space="0" w:color="auto"/>
        <w:right w:val="none" w:sz="0" w:space="0" w:color="auto"/>
      </w:divBdr>
      <w:divsChild>
        <w:div w:id="1191410024">
          <w:marLeft w:val="0"/>
          <w:marRight w:val="0"/>
          <w:marTop w:val="0"/>
          <w:marBottom w:val="0"/>
          <w:divBdr>
            <w:top w:val="none" w:sz="0" w:space="0" w:color="auto"/>
            <w:left w:val="none" w:sz="0" w:space="0" w:color="auto"/>
            <w:bottom w:val="none" w:sz="0" w:space="0" w:color="auto"/>
            <w:right w:val="none" w:sz="0" w:space="0" w:color="auto"/>
          </w:divBdr>
        </w:div>
        <w:div w:id="639505215">
          <w:marLeft w:val="0"/>
          <w:marRight w:val="0"/>
          <w:marTop w:val="0"/>
          <w:marBottom w:val="0"/>
          <w:divBdr>
            <w:top w:val="none" w:sz="0" w:space="0" w:color="auto"/>
            <w:left w:val="none" w:sz="0" w:space="0" w:color="auto"/>
            <w:bottom w:val="none" w:sz="0" w:space="0" w:color="auto"/>
            <w:right w:val="none" w:sz="0" w:space="0" w:color="auto"/>
          </w:divBdr>
        </w:div>
      </w:divsChild>
    </w:div>
    <w:div w:id="177570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6/06/27/2016-14782/truth-in-lending-regulation-z-annual-threshold-adjustments-card-act-hoepa-and-atrqm" TargetMode="External"/><Relationship Id="rId13" Type="http://schemas.openxmlformats.org/officeDocument/2006/relationships/hyperlink" Target="https://www.gpo.gov/fdsys/pkg/FR-2015-10-28/pdf/2015-26607.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deralregister.gov/documents/2016/06/27/2016-14782/truth-in-lending-regulation-z-annual-threshold-adjustments-card-act-hoepa-and-atrqm" TargetMode="External"/><Relationship Id="rId12" Type="http://schemas.openxmlformats.org/officeDocument/2006/relationships/hyperlink" Target="http://files.consumerfinance.gov/f/201307_cfpb_bulletin_unfair-deceptive-abusive-practices.pdf" TargetMode="External"/><Relationship Id="rId17" Type="http://schemas.openxmlformats.org/officeDocument/2006/relationships/hyperlink" Target="http://www.ecfr.gov/cgi-bin/text-idx?SID=4d775244a75c3223775caef6f948ecdf&amp;mc=true&amp;node=pt12.7.715&amp;rgn=div5" TargetMode="External"/><Relationship Id="rId2" Type="http://schemas.openxmlformats.org/officeDocument/2006/relationships/styles" Target="styles.xml"/><Relationship Id="rId16" Type="http://schemas.openxmlformats.org/officeDocument/2006/relationships/hyperlink" Target="http://www.ecfr.gov/cgi-bin/text-idx?SID=060b8e4fbf064b0519c68a50eed6f5a4&amp;mc=true&amp;node=pt12.7.749&amp;rgn=div5" TargetMode="External"/><Relationship Id="rId1" Type="http://schemas.openxmlformats.org/officeDocument/2006/relationships/numbering" Target="numbering.xml"/><Relationship Id="rId6" Type="http://schemas.openxmlformats.org/officeDocument/2006/relationships/hyperlink" Target="https://www.irs.gov/pub/irs-drop/rp-16-28.pdf" TargetMode="External"/><Relationship Id="rId11" Type="http://schemas.openxmlformats.org/officeDocument/2006/relationships/hyperlink" Target="http://files.consumerfinance.gov/f/documents/102016_cfpb_NavyFederalConsentOrder.pdf" TargetMode="External"/><Relationship Id="rId5" Type="http://schemas.openxmlformats.org/officeDocument/2006/relationships/hyperlink" Target="http://files.consumerfinance.gov/f/documents/102016_cfpb_NavyFederalConsentOrder.pdf" TargetMode="External"/><Relationship Id="rId15" Type="http://schemas.openxmlformats.org/officeDocument/2006/relationships/hyperlink" Target="https://www.federalreserve.gov/newsevents/press/bcreg/bcreg20161027a1.pdf" TargetMode="External"/><Relationship Id="rId10" Type="http://schemas.openxmlformats.org/officeDocument/2006/relationships/hyperlink" Target="http://files.consumerfinance.gov/f/documents/102016_cfpb_NavyFederalConsentOrder.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ederalregister.gov/documents/2016/06/27/2016-14782/truth-in-lending-regulation-z-annual-threshold-adjustments-card-act-hoepa-and-atrqm" TargetMode="External"/><Relationship Id="rId14" Type="http://schemas.openxmlformats.org/officeDocument/2006/relationships/hyperlink" Target="https://www.federalregister.gov/documents/2016/06/27/2016-14782/truth-in-lending-regulation-z-annual-threshold-adjustments-card-act-hoepa-and-atr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Wolbert</dc:creator>
  <cp:lastModifiedBy>Mary Ann Koelzer</cp:lastModifiedBy>
  <cp:revision>4</cp:revision>
  <cp:lastPrinted>2014-12-03T13:21:00Z</cp:lastPrinted>
  <dcterms:created xsi:type="dcterms:W3CDTF">2017-01-16T19:42:00Z</dcterms:created>
  <dcterms:modified xsi:type="dcterms:W3CDTF">2017-01-16T20:10:00Z</dcterms:modified>
</cp:coreProperties>
</file>